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EB" w:rsidRDefault="00CD10EB">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CD10EB" w:rsidRDefault="00CD10E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CD10EB" w:rsidRPr="00F563AB">
        <w:trPr>
          <w:trHeight w:val="300"/>
        </w:trPr>
        <w:tc>
          <w:tcPr>
            <w:tcW w:w="5500" w:type="dxa"/>
            <w:tcBorders>
              <w:top w:val="nil"/>
              <w:left w:val="nil"/>
              <w:bottom w:val="single" w:sz="6" w:space="0" w:color="auto"/>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23.04.2020</w:t>
            </w:r>
          </w:p>
        </w:tc>
      </w:tr>
      <w:tr w:rsidR="00CD10EB" w:rsidRPr="00F563AB">
        <w:trPr>
          <w:trHeight w:val="300"/>
        </w:trPr>
        <w:tc>
          <w:tcPr>
            <w:tcW w:w="55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(дата реєстрації емітентом електронного документа)</w:t>
            </w:r>
          </w:p>
        </w:tc>
      </w:tr>
      <w:tr w:rsidR="00CD10EB" w:rsidRPr="00F563AB">
        <w:trPr>
          <w:trHeight w:val="300"/>
        </w:trPr>
        <w:tc>
          <w:tcPr>
            <w:tcW w:w="5500" w:type="dxa"/>
            <w:tcBorders>
              <w:top w:val="nil"/>
              <w:left w:val="nil"/>
              <w:bottom w:val="single" w:sz="6" w:space="0" w:color="auto"/>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559</w:t>
            </w:r>
          </w:p>
        </w:tc>
      </w:tr>
      <w:tr w:rsidR="00CD10EB" w:rsidRPr="00F563AB">
        <w:trPr>
          <w:trHeight w:val="300"/>
        </w:trPr>
        <w:tc>
          <w:tcPr>
            <w:tcW w:w="55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(вихідний реєстраційний номер електронного документа)</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0"/>
          <w:szCs w:val="20"/>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CD10EB" w:rsidRPr="00F563AB">
        <w:trPr>
          <w:trHeight w:val="200"/>
        </w:trPr>
        <w:tc>
          <w:tcPr>
            <w:tcW w:w="3640" w:type="dxa"/>
            <w:tcBorders>
              <w:top w:val="nil"/>
              <w:left w:val="nil"/>
              <w:bottom w:val="single" w:sz="6" w:space="0" w:color="auto"/>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Дубiна Микола Iванович</w:t>
            </w:r>
          </w:p>
        </w:tc>
      </w:tr>
      <w:tr w:rsidR="00CD10EB" w:rsidRPr="00F563AB">
        <w:trPr>
          <w:trHeight w:val="200"/>
        </w:trPr>
        <w:tc>
          <w:tcPr>
            <w:tcW w:w="3640" w:type="dxa"/>
            <w:tcBorders>
              <w:top w:val="nil"/>
              <w:left w:val="nil"/>
              <w:bottom w:val="nil"/>
              <w:right w:val="nil"/>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(посада)</w:t>
            </w:r>
          </w:p>
        </w:tc>
        <w:tc>
          <w:tcPr>
            <w:tcW w:w="216" w:type="dxa"/>
            <w:tcBorders>
              <w:top w:val="nil"/>
              <w:left w:val="nil"/>
              <w:bottom w:val="nil"/>
              <w:right w:val="nil"/>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(підпис)</w:t>
            </w:r>
          </w:p>
        </w:tc>
        <w:tc>
          <w:tcPr>
            <w:tcW w:w="216" w:type="dxa"/>
            <w:tcBorders>
              <w:top w:val="nil"/>
              <w:left w:val="nil"/>
              <w:bottom w:val="nil"/>
              <w:right w:val="nil"/>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(прізвище та ініціали керівника або уповноваженої особи емітента)</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0"/>
          <w:szCs w:val="20"/>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"СЛАВУТСЬКИЙ СОЛОДОВИЙ ЗАВОД"</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00377733</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30068, Україна, Хмельницька обл., Славутський р-н р-н, с. Крупець, вул. Богдана Хмельницького, б 43</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(03842) 7-06-91, 7-15-71</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RBeliy@soufflet.com</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23.04.2020, Затвердити рiчний звiт Товариства за 2019 рiк</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CD10EB" w:rsidRPr="00F563AB">
        <w:trPr>
          <w:trHeight w:val="300"/>
        </w:trPr>
        <w:tc>
          <w:tcPr>
            <w:tcW w:w="4450" w:type="dxa"/>
            <w:vMerge w:val="restart"/>
            <w:tcBorders>
              <w:top w:val="nil"/>
              <w:left w:val="nil"/>
              <w:bottom w:val="nil"/>
              <w:right w:val="nil"/>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www.malthouse.km.ua</w:t>
            </w:r>
          </w:p>
        </w:tc>
        <w:tc>
          <w:tcPr>
            <w:tcW w:w="1500" w:type="dxa"/>
            <w:tcBorders>
              <w:top w:val="nil"/>
              <w:left w:val="nil"/>
              <w:bottom w:val="single" w:sz="6" w:space="0" w:color="auto"/>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23.04.2020</w:t>
            </w:r>
          </w:p>
        </w:tc>
      </w:tr>
      <w:tr w:rsidR="00CD10EB" w:rsidRPr="00F563AB">
        <w:trPr>
          <w:trHeight w:val="300"/>
        </w:trPr>
        <w:tc>
          <w:tcPr>
            <w:tcW w:w="4450" w:type="dxa"/>
            <w:vMerge/>
            <w:tcBorders>
              <w:top w:val="nil"/>
              <w:left w:val="nil"/>
              <w:bottom w:val="nil"/>
              <w:right w:val="nil"/>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(дата)</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0"/>
          <w:szCs w:val="20"/>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9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10000" w:type="dxa"/>
            <w:gridSpan w:val="2"/>
            <w:tcBorders>
              <w:top w:val="nil"/>
              <w:left w:val="nil"/>
              <w:bottom w:val="nil"/>
              <w:right w:val="nil"/>
            </w:tcBorders>
            <w:vAlign w:val="bottom"/>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46. Примітки:</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В складi рiчного звiту вiдсутнi:</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4. Iнформацiя щодо посади корпоративного секретаря - тому що така посада в товариствi вiдсутня</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 xml:space="preserve">5. Iнформацiя про рейтингове агентство - тому що емiтент не укладав договорiв з рейтинговими </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агентствами та не проводив рейтингову оцiнку.</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 xml:space="preserve">6. Iнформацiя про наявнiсть фiлiалiв або iнших вiдокремлених пiдроздiлiв - тому що таких емiтент не має. </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13. Iнформацiя про змiну акцiонерiв, розмiр пакета яких стає бiльшим, меншим або рiвним пороговому значенню - тому що така iнформацiя в звiтному перiодi вiдсутня.</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14-15. Iнформацiя не є обовязковою для Приватних АТ.</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 xml:space="preserve">17.2. Iнформацiя про облiгацiї емiтента - тому що емiтент  не здiйснював випуск облiгацiй. </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17.3.  Iнформацiя про iншi цiннi папери, випущенi емiтентом - тому що  iншi цiннi папери емiтентом не випускались.</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17.4. Iнформацiя про похiднi цiннi папери, випущенi емiтентом - тому що похiднi цiннi папери емiтентом не випускались.</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17.5. Iнформацiя про борговi цiннi папери - тому що такi не випускались</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17.6. Iнформацiя про викуп власних акцiй - тому що емiтент не проводив викуп протягом звiтного перiоду.</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18. Iнформацiї про стан обєкта нерухомостi, тому що емiсiї цiльових облiгвцiй не було.</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19. Iших ЦП крiм акцiй емiтентом не випускалось.</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20. Працiвники емiтента акцiями у розмiрi понад 0,1% розмiру статутного капiталу не володiють.</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21-22.. Iнформацiї про будь-якi обмеження щодо ЦП, тому що обмежень немає.</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25-28.  Iнформацiя не є обовязковою для Приватних АТ.</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31. Рiчної фiнансової звiтностi поручителя, тому що такий вiдсутнiй.</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33. Iнформацiя про акцiонернi або корпоративнi договори акцiонерiв у емiтента вiдсутня.</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34. Iнформацiя про правочини, умовою чинностi яких є незмiннiсть осiб, якi здiйснюють контроль над емiтентом, вiдсутня.</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36.Iнформацiя про випуски iпотечних облiгацiй, бо такi не випускались.</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37. Iнформацiя про склад, структуру та розмiр iпотечного покриття, тому що такого немає.</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38. Iнформацiя про наявнiсть прострочених строкiв сплати чергових платежiв за кредитними договорами, тому що всi платежi своєчаснi.</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39. Iнформацiя щодо реєстру iпотечних активiв, бо такi вiдсутнi.</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40-45. Iнформацiя щодо ФОН, бо сертифiкатiв ФОН не має та операцiй з нерухомiстю товариство не здiйснює.</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39-40.Iнформацiя щодо реєстру iпотечних активiв - тому що випуск iпотечних облiгацiй та iпотечних сертифiкатiв емiтент не здiйснював.</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sidRPr="00F563AB">
              <w:rPr>
                <w:rFonts w:ascii="Times New Roman CYR" w:hAnsi="Times New Roman CYR" w:cs="Times New Roman CYR"/>
                <w:sz w:val="24"/>
                <w:szCs w:val="24"/>
              </w:rPr>
              <w:t>41-45.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тому що Сертифiкати ФОН емiтентом не випускались.</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"СЛАВУТСЬКИЙ СОЛОДОВИЙ ЗАВОД"</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15.01.1996</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Хмельницька обл.</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6176480</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94</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11.06 - Виробництво солоду</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01.64 - Оброблення насiння для вiдтворення</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46.21 - Оптова торгiвля зерном, необробленим тютюном, насiнням та кормами для тварин</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&lt;Кредi Агрiколь Банк&gt;, МФО 300614</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UA533006140000026000500294024</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UA533006140000026000500294024</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&lt;Кредi Агрiколь Банк&gt;, МФО 300614</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UA533006140000026000500294024</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UA533006140000026000500294024</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CD10EB" w:rsidRPr="00F563AB">
        <w:trPr>
          <w:trHeight w:val="200"/>
        </w:trPr>
        <w:tc>
          <w:tcPr>
            <w:tcW w:w="3155"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Дата закінчення строку дії ліцензії (за наявності)</w:t>
            </w:r>
          </w:p>
        </w:tc>
      </w:tr>
      <w:tr w:rsidR="00CD10EB" w:rsidRPr="00F563AB">
        <w:trPr>
          <w:trHeight w:val="200"/>
        </w:trPr>
        <w:tc>
          <w:tcPr>
            <w:tcW w:w="3155"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r>
      <w:tr w:rsidR="00CD10EB" w:rsidRPr="00F563AB">
        <w:trPr>
          <w:trHeight w:val="200"/>
        </w:trPr>
        <w:tc>
          <w:tcPr>
            <w:tcW w:w="3155"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5697</w:t>
            </w:r>
          </w:p>
        </w:tc>
        <w:tc>
          <w:tcPr>
            <w:tcW w:w="1065"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09.01.2013</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Державна служба геологiї та надр</w:t>
            </w:r>
          </w:p>
        </w:tc>
        <w:tc>
          <w:tcPr>
            <w:tcW w:w="12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09.01.2033</w:t>
            </w:r>
          </w:p>
        </w:tc>
      </w:tr>
      <w:tr w:rsidR="00CD10EB" w:rsidRPr="00F563AB">
        <w:trPr>
          <w:trHeight w:val="200"/>
        </w:trPr>
        <w:tc>
          <w:tcPr>
            <w:tcW w:w="3155"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Пiдлягає продовженню</w:t>
            </w:r>
          </w:p>
        </w:tc>
      </w:tr>
      <w:tr w:rsidR="00CD10EB" w:rsidRPr="00F563AB">
        <w:trPr>
          <w:trHeight w:val="200"/>
        </w:trPr>
        <w:tc>
          <w:tcPr>
            <w:tcW w:w="3155"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xml:space="preserve">Придбання, зберiгання, використання прекурсорiв (списку 2 таблицi IV) Перелiку </w:t>
            </w:r>
            <w:r w:rsidRPr="00F563AB">
              <w:rPr>
                <w:rFonts w:ascii="Times New Roman CYR" w:hAnsi="Times New Roman CYR" w:cs="Times New Roman CYR"/>
              </w:rPr>
              <w:lastRenderedPageBreak/>
              <w:t>наркотичних засобiв, психотропних речовин i прекурсорiв</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б/н</w:t>
            </w:r>
          </w:p>
        </w:tc>
        <w:tc>
          <w:tcPr>
            <w:tcW w:w="1065"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23.02.2017</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Держлiкслужба України</w:t>
            </w:r>
          </w:p>
        </w:tc>
        <w:tc>
          <w:tcPr>
            <w:tcW w:w="12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23.02.2022</w:t>
            </w:r>
          </w:p>
        </w:tc>
      </w:tr>
      <w:tr w:rsidR="00CD10EB" w:rsidRPr="00F563AB">
        <w:trPr>
          <w:trHeight w:val="200"/>
        </w:trPr>
        <w:tc>
          <w:tcPr>
            <w:tcW w:w="3155"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термiн дiї лiцензiї буде продовжено</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Українська галузева компанiя по виробництву пива,безалкогольних напоїв та мiнеральних вод "УКРПИВО"</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14297558</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01001, м. Київ, вул.Мала Житомирська, буд. 3-А,</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Емiтент володiє 4200 шт. простих iменних акцiй юридичної особи.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CD10E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CD10EB" w:rsidRPr="00F563AB">
        <w:trPr>
          <w:trHeight w:val="200"/>
        </w:trPr>
        <w:tc>
          <w:tcPr>
            <w:tcW w:w="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Стан розгляду справи</w:t>
            </w:r>
          </w:p>
        </w:tc>
      </w:tr>
      <w:tr w:rsidR="00CD10EB" w:rsidRPr="00F563AB">
        <w:trPr>
          <w:trHeight w:val="200"/>
        </w:trPr>
        <w:tc>
          <w:tcPr>
            <w:tcW w:w="5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Адмiнiстративна справа №822/1781/18</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Сьомий апеляцiйний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ПрАТ "Славутський солодовий завод"</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Управлiння Держпрацi у Хмельницькiй областi</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Бурцев Дмитро Дмитрович</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визнання протиправним та скасування припису за формою Н-9 №22-26/405-299 вiд 15 травня 2018 р. Головного державного iнспектора Управлiння Держпрацi у Хмельницькiй областi.</w:t>
            </w:r>
          </w:p>
        </w:tc>
        <w:tc>
          <w:tcPr>
            <w:tcW w:w="162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завершено</w:t>
            </w:r>
          </w:p>
        </w:tc>
      </w:tr>
      <w:tr w:rsidR="00CD10EB" w:rsidRPr="00F563AB">
        <w:trPr>
          <w:trHeight w:val="200"/>
        </w:trPr>
        <w:tc>
          <w:tcPr>
            <w:tcW w:w="14621" w:type="dxa"/>
            <w:gridSpan w:val="8"/>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0"/>
                <w:szCs w:val="20"/>
              </w:rPr>
            </w:pPr>
            <w:r w:rsidRPr="00F563AB">
              <w:rPr>
                <w:rFonts w:ascii="Times New Roman CYR" w:hAnsi="Times New Roman CYR" w:cs="Times New Roman CYR"/>
                <w:b/>
                <w:bCs/>
                <w:sz w:val="20"/>
                <w:szCs w:val="20"/>
              </w:rPr>
              <w:t>Опис:</w:t>
            </w:r>
          </w:p>
        </w:tc>
      </w:tr>
      <w:tr w:rsidR="00CD10EB" w:rsidRPr="00F563AB">
        <w:trPr>
          <w:trHeight w:val="200"/>
        </w:trPr>
        <w:tc>
          <w:tcPr>
            <w:tcW w:w="14621" w:type="dxa"/>
            <w:gridSpan w:val="8"/>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0"/>
                <w:szCs w:val="20"/>
              </w:rPr>
            </w:pPr>
            <w:r w:rsidRPr="00F563AB">
              <w:rPr>
                <w:rFonts w:ascii="Times New Roman CYR" w:hAnsi="Times New Roman CYR" w:cs="Times New Roman CYR"/>
                <w:sz w:val="20"/>
                <w:szCs w:val="20"/>
              </w:rPr>
              <w:t>Постановою вiд 16.01.2019 р. Сьомого апеляцiйного адмiнiстративного суду (м.Вiнниця) у справi №822/1781/18 залишено в силi рiшення Хмельницького окружного адмiнiстративного суду вiд 25 вересня 2018 року у цiй же справi, тобто фактично ПрАТ "СЛАВУТСЬКИЙ СОЛОДОВИЙ ЗАВОД" зобов'язано  виконати вищевказаний припис Держпрацi та провести розслiдування НВ з Бурцевим Д.Д. 19.12.2011 р. (раптове погiршення стану здоров'я). Припис виконано. Штрафнi/фiнансовi санкцiї вiдсутнi.</w:t>
            </w:r>
          </w:p>
        </w:tc>
      </w:tr>
      <w:tr w:rsidR="00CD10EB" w:rsidRPr="00F563AB">
        <w:trPr>
          <w:trHeight w:val="200"/>
        </w:trPr>
        <w:tc>
          <w:tcPr>
            <w:tcW w:w="5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Адмiнiстративна справа №640/21726/18</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Окружний адмiнiстративний суд мiста Києва</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ПрАТ "СЛАВУТСЬКИЙ СОЛОДОВИЙ ЗАВОД"</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Офiс великих платникiв податкiв ДФС</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Визнати протиправними та скасувати податкове повiдомлення-рiшення Офiсу великих платникiв податкiв ДФС № 0010364814 вiд 17.12.2018р., вимогу про сплату боргу (недоїмки) № Ю-0007954814 та рiшення № 0007964814 про застосування штрафних санкцiй вiд 27.09.2018р.</w:t>
            </w:r>
          </w:p>
        </w:tc>
        <w:tc>
          <w:tcPr>
            <w:tcW w:w="162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завершено</w:t>
            </w:r>
          </w:p>
        </w:tc>
      </w:tr>
      <w:tr w:rsidR="00CD10EB" w:rsidRPr="00F563AB">
        <w:trPr>
          <w:trHeight w:val="200"/>
        </w:trPr>
        <w:tc>
          <w:tcPr>
            <w:tcW w:w="14621" w:type="dxa"/>
            <w:gridSpan w:val="8"/>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0"/>
                <w:szCs w:val="20"/>
              </w:rPr>
            </w:pPr>
            <w:r w:rsidRPr="00F563AB">
              <w:rPr>
                <w:rFonts w:ascii="Times New Roman CYR" w:hAnsi="Times New Roman CYR" w:cs="Times New Roman CYR"/>
                <w:b/>
                <w:bCs/>
                <w:sz w:val="20"/>
                <w:szCs w:val="20"/>
              </w:rPr>
              <w:t>Опис:</w:t>
            </w:r>
          </w:p>
        </w:tc>
      </w:tr>
      <w:tr w:rsidR="00CD10EB" w:rsidRPr="00F563AB">
        <w:trPr>
          <w:trHeight w:val="200"/>
        </w:trPr>
        <w:tc>
          <w:tcPr>
            <w:tcW w:w="14621" w:type="dxa"/>
            <w:gridSpan w:val="8"/>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0"/>
                <w:szCs w:val="20"/>
              </w:rPr>
            </w:pPr>
            <w:r w:rsidRPr="00F563AB">
              <w:rPr>
                <w:rFonts w:ascii="Times New Roman CYR" w:hAnsi="Times New Roman CYR" w:cs="Times New Roman CYR"/>
                <w:sz w:val="20"/>
                <w:szCs w:val="20"/>
              </w:rPr>
              <w:t>Рiшенням Окружного адмiнiстративного суду мiста Києва вiд 12.03.2019 р. та Постановою вiд 13.06.2019 р. Шостого апеляцiйного адмiнiстративного суду (м.Київ) у справi №640/21726/18 позовнi вимоги ПрАТ "СЛАВУТСЬКИЙ СОЛОДОВИЙ ЗАВОД" задоволено у повному обсязi. Судовi рiшення набрали законної сили. Ухвалою Верховного Суду вiд 17.09.2019 р. (адмiнiстративне провадження №К/990119834/19) касацiйну скаргу Офiсу ВПП ДФС повернуто заявниковi без розгляду.</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0"/>
          <w:szCs w:val="20"/>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CD10EB" w:rsidRPr="00F563AB">
        <w:trPr>
          <w:trHeight w:val="200"/>
        </w:trPr>
        <w:tc>
          <w:tcPr>
            <w:tcW w:w="1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Інформація про виконання</w:t>
            </w:r>
          </w:p>
        </w:tc>
      </w:tr>
      <w:tr w:rsidR="00CD10EB" w:rsidRPr="00F563AB">
        <w:trPr>
          <w:trHeight w:val="200"/>
        </w:trPr>
        <w:tc>
          <w:tcPr>
            <w:tcW w:w="1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0003594806, 15.04.2019</w:t>
            </w:r>
          </w:p>
        </w:tc>
        <w:tc>
          <w:tcPr>
            <w:tcW w:w="2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Офiс великих платникiв податкiв ДФС</w:t>
            </w:r>
          </w:p>
        </w:tc>
        <w:tc>
          <w:tcPr>
            <w:tcW w:w="2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Сплачено</w:t>
            </w:r>
          </w:p>
        </w:tc>
      </w:tr>
      <w:tr w:rsidR="00CD10EB" w:rsidRPr="00F563AB">
        <w:trPr>
          <w:trHeight w:val="200"/>
        </w:trPr>
        <w:tc>
          <w:tcPr>
            <w:tcW w:w="10000" w:type="dxa"/>
            <w:gridSpan w:val="5"/>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r>
      <w:tr w:rsidR="00CD10EB" w:rsidRPr="00F563AB">
        <w:trPr>
          <w:trHeight w:val="200"/>
        </w:trPr>
        <w:tc>
          <w:tcPr>
            <w:tcW w:w="10000" w:type="dxa"/>
            <w:gridSpan w:val="5"/>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Штраф за несвоєчасну реєстрацiю податкової накладної 848 грн.</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Органiзацiна структура емiтента: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Департамент виробництва та якостi;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 департамент;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Адмiн. департамент;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Бухгалтерiя;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Вiддiл логiстики, продаж та закупок.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 порiвняннi з попереднiм роком не було.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- 98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та сумiсникiв (осiб) - 0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всього (тис.грн.) 22643.9  В порiвняннi з попереднiм роком збiльшився на 12.6%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&lt;Славутський солодовий завод&gt; з рiчною потужнiстю 155 тис. тон солоду входить до солодового департаменту Групи Суффле (Францiя), вул.. Генерала Саррай, м. Ножан-сюр-Сен. Група здiйснює дiяльнiсть у галузi переробки сiльськогосподарської продукцiї у країнах Схiдної та Захiдної Європи, Росiї, Казахстану, Бразилiї, зокрема забезпечує близько 10% свiтового виробництва солоду, що становить понад 2 млн. тон на рiк.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спiльної дiяльностi не проводить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Будь-які пропозиції щодо реорганізації з боку третіх осіб, що мали місце протягом звітного періоду, умови та результати цих пропозицій</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не надходило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була затверджена наказом № 179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20 жовтня 2016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&lt;Про органiзацiю бухгалтерського облiку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облiкову полiтику пiдприємства&gt;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Керуючись Законом України вiд 16 липня 1999 року № 996-XIV &lt;Про бухгалтерський облiк та фiнансову звiтнiсть в Українi&gt;, нормами Мiжнародних стандартiв фiнансової звiтностi, Мiжнародних стандартiв бухгалтерського облiку, Статутом пiдприємства та з метою забезпечення єдиних (постiйних) принципiв, методiв, процедур при вiдображеннi поточних операцiй в облiку та складаннi фiнансової звiтностi,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НАКАЗУЮ: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Оновити  облiкову полiтику  пiдприємства шляхом уточнення деяких пунктiв попередньої полiтики, що стосуються  облiкових оцiнок дiяльностi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положення: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облiк на пiдприємствi ведеться бухгалтерською службою пiдприємства на чолi з головним бухгалтером   вiдповiдно до норм та принципiв передбачених Законом  України № 996 - XIV та Мiжнародних стандартiв фiнансової звiтностi та бухгалтерського облiку. Права i обов'язки головного бухгалтера, працiвникiв бухгалтерiї визначаються згiдно Закону № 996,  облiковою полiтикою, посадовими iнструкцiями та  внутрiшнiми процедурами.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Податковий облiк ведеться вiдповiдно норм Податкового  Кодексу України.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Застосовується в цiлях облiку План рахункiв бухгалтерського облiку активiв, капiталу, зобов'язань i господарських операцiй пiдприємств та органiзацiй, затверджений наказом Мiнiстерства Фiнансiв України. З метою забезпечення необхiдної деталiзацiї облiково-економiчної iнформацiї дозволено головному бухгалтеру своїм розпорядженням вводити додаткову систему субрахункiв.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Облiк витрат пiдприємства ведеться на рахунках класу 9 &lt;Витрати дiяльностi&gt; з використанням рахункiв класу 8 &lt;Витрати за елементами&gt;.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Перелiк осiб, уповноважених пiдписувати первиннi документи, визначено окремим наказом по пiдприємству. Вiдповiдальнiсть за несвоєчасне складання первинних документiв та достовiрнiсть вiдображених у них даних несуть особи, якi склали та пiдписали цi документи.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Особи, що iнiцiюють укладання угод  з iншими суб'єктами господарювання на закупiвлю  сировини, ТМЦ, товарiв, необоротних активiв, виконання робiт, надання послуг , несуть вiдповiдальнiсть за вiдповiднiсть цiни угоди ринковiй цiнi в спiвставних умовах на iдентичний вид  сировини, ТМЦ, необоротних активiв,  робiт та послуг на дату пiдписання угоди.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Для формування цiни угоди продажу виробленої готової продукцiї застосовується затверджена цiнова полiтика по пiдприємству.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Звiтним перiодом для складання фiнансової звiтностi є календарний рiк. Промiжна звiтнiсть складається щоквартально наростаючим пiдсумком з початку звiтного року в складi балансу , звiту про фiнансовi результати, звiту про рух грошових коштiв, звiту про власний капiтал. Баланс пiдприємства складається станом на кiнець останнього дня кварталу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Основною дiяльнiстю вважається виробництво солоду. Результати всiх iнших супутнiх </w:t>
      </w:r>
      <w:r>
        <w:rPr>
          <w:rFonts w:ascii="Times New Roman CYR" w:hAnsi="Times New Roman CYR" w:cs="Times New Roman CYR"/>
          <w:sz w:val="24"/>
          <w:szCs w:val="24"/>
        </w:rPr>
        <w:lastRenderedPageBreak/>
        <w:t>операцiй  та групи подiбних операцiй  подаються в фiнансовiй звiтностi на нетто - основi прибуткiв чи збиткiв або   шляхом зменшення будь-якого доходу на суму пов'язаних з ним витрат.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Плановi та позаплановi iнвентаризацiї проводяться за рiшенням Генерального директора в об'ємах та у термiни ,що визначенi в наказi по пiдприємству.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оцiнки i методи облiку активiв зобов`язань капiталу, доходiв i витрат.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Визнаний об`єкт основних засобiв облiковується по собiвартостi за вирахування накопиченої  амортизацiї та збиткiв вiд зменшення корисностi до всiх класiв основних засобiв.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 iншi основнi засоби.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Для визнання основних засобiв, їх частин, нематерiальних активiв окремими об'єктами, визначення та перегляду  строку їх корисного використання, лiквiдацiйної вартостi  створена постiйно дiюча експертна технiчна комiсiя.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Межа суттєвостi для визнання активу основним засобом встановлена в розмiрi 6000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Активи вартiстю до 6000 гривень визнаються  малоцiнними необоротними активами, встановлено  для таких активiв норму списання на витрати в розмiрi 100% вартостi в першому мiсяцi експлуатацiї в бухгалтерському та податковому облiках.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Для  основних засобiв вартiстю  6000 грн. та вище  встановлений  прямолiнiйний метод нарахування амортизацiї в бухгалтерському  та податковому облiках.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Нарахування амортизацiї  основного засобу  починається одразу коли його мiсцезнаходження та стан дозволяють здiйснювати його експлуатацiю у вiдповiдностi з намiрами керiвництва за строками корисного використання ,  визначеними експертною технiчною комiсiєю  в  наказi по пiдприємству.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 Строки корисного використання можуть бути переглянутi експертною технiчною комiсiєю, якщо  попередня оцiнка буде суттєво вiдрiзнятися вiд фактичних строкiв використання, змiна  строкiв корисного використання  здiйснюється за  наказом по пiдприємству.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Витрати, пов'язанi з модернiзацiєю, модифiкацiєю, добудовою, дообладнанням, реконструкцiєю  та деякими видами капiтальних ремонтiв об'єкта основних засобiв, що призводять до збiльшення майбутнiх економiчних вигод, збiльшують первiсну вартiсть основних засобiв.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здiйсненi для пiдтримання активiв в робочому станi (утримання, експлуатацiя, ремонти, включаючи деякi види капiтальних ремонтiв) включаються до складу витрат перiоду, в якому вони понесенi.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w:t>
      </w:r>
      <w:r>
        <w:rPr>
          <w:rFonts w:ascii="Times New Roman CYR" w:hAnsi="Times New Roman CYR" w:cs="Times New Roman CYR"/>
          <w:sz w:val="24"/>
          <w:szCs w:val="24"/>
        </w:rPr>
        <w:lastRenderedPageBreak/>
        <w:t>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Нематерiальнi активи - iдентифiкованi немонетарнi активи, що не мають фiзичної форми. Визнаються, якщо можуть бути: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вiдокремленнi вiд пiдприємства, проданi, переданi, зданi в оренду не залежно, чи має пiдприємство намiр на таки дiї,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є результатом договiрних або юридичних прав незалежно вiд того, чи можна цi права передавати чи вiддiляти вiд пiдприємства.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Визнаний нематерiальний актив  облiковується  по собiвартостi за вирахування накопиченої  амортизацiї на збиткiв вiд зменшення корисностi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Подальшi витрати капiталiзуються за рiшенням генерального директора та технiчного керiвника тiльки тодi, коли вони збiльшують економiчнi вигоди, якi може принести даний  актив в майбутньому, всi iншi витрати признаються в витратах в перiод їх понесення.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Амортизацiя  нематерiальних активiв нараховується за прямолiнiйним методом протягом оцiнених строкiв корисного використання, що  визначенi експертною технiчною комiсiєю за наказом  по пiдприємству.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Одиницею бухгалтерського облiку запасiв ТМЦ вважається кожне їхнє окреме найменування.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Одиницею бухгалтерського облiку готової продукцiї та ячменю вважається солод ячмiнний пивоварний    та  ячмiнь пивоварний  з розподiлом за роками урожаю , за рiшенням Генерального директора солод та ячмiнь може оприбутковуватися за класами.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Незавершеним виробництвом вважається ячмiнь пивоварний в сумарнiй кiлькостi, що знаходиться в замочних чанах, в ящиках солодорощення, в сушильному вiддiленнi.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Придбаннi або виготовленi запаси зараховуються на баланс пiдприємства за первиною вартiстю. Первинна вартiсть запасiв  визначається за собiвартiстю запасiв чи за чистою вартiстю реалiзацiї.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Собiвартiсть запасiв включає всi витрати на придбання, витрати на переробку   та iншi витрати, понесенi  для забезпечення поточного мiсця знаходження та стану запасiв.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Транспортно-заготiвельнi витрати включаються до первiсної вартостi конкретних найменувань, груп , видiв запасiв при їх оприбуткуваннi.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Виробнича собiвартiсть готової продукцiї включає: прямi витрати сировини за мiнусом вiдходiв виробництва та витрати переробки.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 xml:space="preserve">До  витрат переробки вiдносяться   змiннi витрати  електроенергiї , газу, вiдходiв на виробництво теплоенергiї  та  розподiлена частина  умовно - постiйних загальновиробничих витрати.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Прийнято за базу розподiлу умовно-постiйних загальновиробничих витрат  нормальну виробничу потужнiсть пiдприємства. Нормальною виробничою потужнiстю вважається  рiчна потужнiсть 125 000 тон солоду, як середнiй показник роботи за 2008-2014 роки  в нормальних умовах. При мiсячнiй  загрузцi виробництва на 90% i  бiльше розподiл умовно-постiйних витрат не проводиться, всi умовно - постiйнi виробничi  витрати вiдносяться на вартiсть незавершеного виробництва.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Не розподiленi умовно-постiйнi загальновиробничi витрати вважаються  витратами в перiод виникнення.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Застосовуються такi методи оцiнки запасiв при вiдпуску їх у виробництво, продажу чи iншому вибуттi: щомiсячної середньозваженої собiвартостi.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ab/>
        <w:t>Перелiк та склад статей виробничої собiвартостi та правила їх розподiлу мiж  одиницями облiку   визначено додатком № 1 до облiкової полiтики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w:t>
      </w:r>
      <w:r>
        <w:rPr>
          <w:rFonts w:ascii="Times New Roman CYR" w:hAnsi="Times New Roman CYR" w:cs="Times New Roman CYR"/>
          <w:sz w:val="24"/>
          <w:szCs w:val="24"/>
        </w:rPr>
        <w:tab/>
        <w:t>Перелiк та склад статей загальновиробничих витрат визначено додатком № 2 до облiкової полiтики.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w:t>
      </w:r>
      <w:r>
        <w:rPr>
          <w:rFonts w:ascii="Times New Roman CYR" w:hAnsi="Times New Roman CYR" w:cs="Times New Roman CYR"/>
          <w:sz w:val="24"/>
          <w:szCs w:val="24"/>
        </w:rPr>
        <w:tab/>
        <w:t xml:space="preserve">Перелiк та склад статей адмiнiстративних витрат визначено додатком № 3 до облiкової </w:t>
      </w:r>
      <w:r>
        <w:rPr>
          <w:rFonts w:ascii="Times New Roman CYR" w:hAnsi="Times New Roman CYR" w:cs="Times New Roman CYR"/>
          <w:sz w:val="24"/>
          <w:szCs w:val="24"/>
        </w:rPr>
        <w:lastRenderedPageBreak/>
        <w:t>полiтики.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Перелiк та склад статей витрат на збут визначено додатком  № 4 до облiкової полiтики.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Перелiк та склад статей iнших витрат визначено додатком № 5 до облiкової полiтики.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r>
        <w:rPr>
          <w:rFonts w:ascii="Times New Roman CYR" w:hAnsi="Times New Roman CYR" w:cs="Times New Roman CYR"/>
          <w:sz w:val="24"/>
          <w:szCs w:val="24"/>
        </w:rPr>
        <w:tab/>
        <w:t>Для забезпечення  точної аналiтики перелiк статей може бути розширено за рiшенням головного бухгалтера.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r>
        <w:rPr>
          <w:rFonts w:ascii="Times New Roman CYR" w:hAnsi="Times New Roman CYR" w:cs="Times New Roman CYR"/>
          <w:sz w:val="24"/>
          <w:szCs w:val="24"/>
        </w:rPr>
        <w:tab/>
        <w:t>Витрати, що сплачуються головному офiсу материнської компанiї є витратами по загальному управлiнню пiдприємством  та контролю над  пiдприємством  , що вiдносяться до адмiнiстративних витрат.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w:t>
      </w:r>
      <w:r>
        <w:rPr>
          <w:rFonts w:ascii="Times New Roman CYR" w:hAnsi="Times New Roman CYR" w:cs="Times New Roman CYR"/>
          <w:sz w:val="24"/>
          <w:szCs w:val="24"/>
        </w:rPr>
        <w:tab/>
        <w:t>Малоцiннi оборотнi матерiальнi  активи з термiном корисного використання менше одного року списуються на витрати перiоду, в момент передачi активiв в експлуатацiю з подальшою органiзацiєю кiлькiсного облiку за мiсцем експлуатацiї. Проводиться фактичне списання кiлькостi таких активiв не пiзнiше 360 днiв використання.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w:t>
      </w:r>
      <w:r>
        <w:rPr>
          <w:rFonts w:ascii="Times New Roman CYR" w:hAnsi="Times New Roman CYR" w:cs="Times New Roman CYR"/>
          <w:sz w:val="24"/>
          <w:szCs w:val="24"/>
        </w:rPr>
        <w:tab/>
        <w:t xml:space="preserve">Сума доходу  вiд господарських операцiй оцiнюється за справедливою вартiстю отриманих коштiв або коштiв до отримання за мiнусом можливих вирахувань з доходу та визнається коли: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пiдприємство передало покупцю значнi ризики, пов`язаннi з правом власностi на товар;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пiдприємство не контролює проданий товар;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висока ймовiрнiсть надходження економiчних вигод вiд операцiї.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Момент передачi ризикiв та вигод залежить вiд конкретних умов договорiв купiвлi-продажу, але, як правило,  тодi, коли продукцiя передається у розпорядження покупця.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w:t>
      </w:r>
      <w:r>
        <w:rPr>
          <w:rFonts w:ascii="Times New Roman CYR" w:hAnsi="Times New Roman CYR" w:cs="Times New Roman CYR"/>
          <w:sz w:val="24"/>
          <w:szCs w:val="24"/>
        </w:rPr>
        <w:tab/>
        <w:t>Оцiнка ступеня завершеностi операцiї з надання послуг (виконання робiт) здiйснюється шляхом вивчення виконаної роботи, при цьому в бухгалтерському облiку доходи вiдображаються  звiтному перiодi пiдписання акту наданих послуг (виконаних робiт).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w:t>
      </w:r>
      <w:r>
        <w:rPr>
          <w:rFonts w:ascii="Times New Roman CYR" w:hAnsi="Times New Roman CYR" w:cs="Times New Roman CYR"/>
          <w:sz w:val="24"/>
          <w:szCs w:val="24"/>
        </w:rPr>
        <w:tab/>
        <w:t>Непохiднi фiнансовi активи включають кредити,  дебiторську заборгованiсть за товари, роботи, послуги, дебiторську заборгованiсть за iншими розрахунками та грошовi кошти та їх еквiваленти. Початкове визнання кредитiв, дебiторської заборгованостi, депозитiв  здiйснюється  з дати їх виникнення за справедливою вартiстю плюс будь-якi витрати, понесенi безпосередньо в зв'язку зi здiйсненням операцiї.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w:t>
      </w:r>
      <w:r>
        <w:rPr>
          <w:rFonts w:ascii="Times New Roman CYR" w:hAnsi="Times New Roman CYR" w:cs="Times New Roman CYR"/>
          <w:sz w:val="24"/>
          <w:szCs w:val="24"/>
        </w:rPr>
        <w:tab/>
        <w:t>Припинення  визнання фiнансових  активiв вiдбувається тодi,  коли закiнчується строк дiї договiрних прав товариства на отримання коштiв вiд активу  ,або коли товариство передає права на отримання передбачених договорами грошових коштiв разом з передачею всiх ризикiв та винагород, пов'язаних з володiнням активом.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w:t>
      </w:r>
      <w:r>
        <w:rPr>
          <w:rFonts w:ascii="Times New Roman CYR" w:hAnsi="Times New Roman CYR" w:cs="Times New Roman CYR"/>
          <w:sz w:val="24"/>
          <w:szCs w:val="24"/>
        </w:rPr>
        <w:tab/>
        <w:t>Грошовi кошти та їх еквiваленти включають залишок коштiв на рахунках товариства та депозити до запитання iз початковими строками погашення до трьох мiсяцiв.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w:t>
      </w:r>
      <w:r>
        <w:rPr>
          <w:rFonts w:ascii="Times New Roman CYR" w:hAnsi="Times New Roman CYR" w:cs="Times New Roman CYR"/>
          <w:sz w:val="24"/>
          <w:szCs w:val="24"/>
        </w:rPr>
        <w:tab/>
        <w:t>Товариство розглядає ознаки зменшення корисностi кредитiв та дебiторської заборгованостi як у розрiзi окремих активiв так i в сукупностi залежно вiд суми заборгованостi. Збиток вiд зменшення корисностi  фiнансового активу визнається  у складi резерву сумнiвних боргiв.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Pr>
          <w:rFonts w:ascii="Times New Roman CYR" w:hAnsi="Times New Roman CYR" w:cs="Times New Roman CYR"/>
          <w:sz w:val="24"/>
          <w:szCs w:val="24"/>
        </w:rPr>
        <w:tab/>
        <w:t>Величину резерву сумнiвних боргiв  по поточнiй дебiторськiй заборгованостi  розраховують на пiдставi класифiкацiї заборгованостi по строкам порушення умов оплати  угод . Резерв сумнiвних боргiв за поточною дебiторською заборгованiстю створюється в розмiрi 100 % вiд суми заборгованостi бiльше 180 днiв вiд дати виконання  умов оплати за угодою. По короткостроковiй  дебiторськiй заборгованостi по строкам непогашення 180 днiв та менше проводиться додатковий аналiз по кожному з  боржникiв наявностi пiдстав  для розрахунку зменшення корисностi  заборгованостi. У разi iснування пiдстав резерв  сумнiвних боргiв за кожним конкретним боржником розраховується в розмiрi рiзницi мiж балансовою вартiстю активу та дiйсною вартiстю попередньо оцiнених грошових потокiв, дисконтованих методом ефективної ставки вiдсотку.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Перегляд резерву сумнiвних боргiв проводиться щомiсячно. Списання дебiторської та кредиторської заборгованостi, термiн позовної давностi якої минув, та безнадiйної дебiторської заборгованостi здiйснюється  щомiсячно.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Розрахунок термiну позовної давностi здiйснює незалежний юрист за списками дебiторiв та кредиторiв, якi готує бухгалтерiя заводу. Списки безнадiйної дебiторської заборгованостi готує незалежний юрист.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r>
        <w:rPr>
          <w:rFonts w:ascii="Times New Roman CYR" w:hAnsi="Times New Roman CYR" w:cs="Times New Roman CYR"/>
          <w:sz w:val="24"/>
          <w:szCs w:val="24"/>
        </w:rPr>
        <w:tab/>
        <w:t>Зобов'язання з короткострокових виплат працiвникам  у виглядi виплат оплати працi за колективною угодою не дисконтуються. Зобов'язання визнається в сумi, що, за очiкуванням, буде виплачена в рамках короткострокових програм виплат, якщо пiдприємство має поточне юридичне чи конструктивне зобов'язання та таке зобов'язання може бути оцiнено достовiрно.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w:t>
      </w:r>
      <w:r>
        <w:rPr>
          <w:rFonts w:ascii="Times New Roman CYR" w:hAnsi="Times New Roman CYR" w:cs="Times New Roman CYR"/>
          <w:sz w:val="24"/>
          <w:szCs w:val="24"/>
        </w:rPr>
        <w:tab/>
        <w:t>Пенсiйна програма з фiксованими внесками  представлена зобов'язанням по вiдрахуванням у державний фонд України у виглядi єдиного соцiального внеску, що визнаються витратами в перiод надання послуг працiвником.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Pr>
          <w:rFonts w:ascii="Times New Roman CYR" w:hAnsi="Times New Roman CYR" w:cs="Times New Roman CYR"/>
          <w:sz w:val="24"/>
          <w:szCs w:val="24"/>
        </w:rPr>
        <w:tab/>
        <w:t>Створюються резерви виплат, пов'язаних з оплатою працi (резерв оплати вiдпусток працiвникам, резерв квартальних премiй, резерв премiй за рiк, резерв одноразової допомоги при виходi на пенсiю).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Pr>
          <w:rFonts w:ascii="Times New Roman CYR" w:hAnsi="Times New Roman CYR" w:cs="Times New Roman CYR"/>
          <w:sz w:val="24"/>
          <w:szCs w:val="24"/>
        </w:rPr>
        <w:tab/>
        <w:t>Довгостроковою пенсiйною програмою є резерв одноразової допомоги при виходi на пенсiю. Резерв одноразової допомоги при виходi на пенсiю являє собою суму майбутньої одноразової виплати, що зароблена працiвниками в поточному та попереднiх перiодах. Сума цих виплат дисконтується, розрахунок проводиться з використанням методу приведеної одиницi, перегляд резерву проводиться  одноразово щорiчно станом на 31 грудня.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w:t>
      </w:r>
      <w:r>
        <w:rPr>
          <w:rFonts w:ascii="Times New Roman CYR" w:hAnsi="Times New Roman CYR" w:cs="Times New Roman CYR"/>
          <w:sz w:val="24"/>
          <w:szCs w:val="24"/>
        </w:rPr>
        <w:tab/>
        <w:t>Резерв вiдпусток за першi два  мiсяця кварталу розраховується шляхом  множення розрахованого рiчного  коефiцiєнту резервування вiдпускних  на фактичний фонд оплати працi за поточний мiсяць, резерв вiдпусток  за третiй мiсяць кварталу розраховується шляхом множення залишку днiв вiдпустки на кiнець кварталу по кожному працiвнику на   його планову середньоденну заробiтну плату. Резерв вiдпусток включає вiдрахування  єдиного соцiального внеску за дiючими ставками та порядком на дату розрахунку.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48.</w:t>
      </w:r>
      <w:r>
        <w:rPr>
          <w:rFonts w:ascii="Times New Roman CYR" w:hAnsi="Times New Roman CYR" w:cs="Times New Roman CYR"/>
          <w:sz w:val="24"/>
          <w:szCs w:val="24"/>
        </w:rPr>
        <w:tab/>
        <w:t>Резерв квартальних премiй нараховується щомiсячно шляхом множення фактичного фонду оплати працi кожного окремого працiвника на вiдсоток квартальної премiї ,що визначенi в колективнiй угодi для цiлей  нарахування квартальної премiї . Резерв квартальних премiй включає вiдрахування єдиного соцiального внеску за дiючими ставками та порядком на дату розрахунку.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49.</w:t>
      </w:r>
      <w:r>
        <w:rPr>
          <w:rFonts w:ascii="Times New Roman CYR" w:hAnsi="Times New Roman CYR" w:cs="Times New Roman CYR"/>
          <w:sz w:val="24"/>
          <w:szCs w:val="24"/>
        </w:rPr>
        <w:tab/>
        <w:t>Резерв премiй за рiк   нараховується щомiсячно в розмiрi 1/12  посадового окладу працiвника(чи його прогнозу) та переглядається у поточному мiсяцi змiни посадового окладу. Резерв  премiй за рiк  включає вiдрахування єдиного соцiального внеску за дiючими ставками та порядком на дату розрахунку.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50.</w:t>
      </w:r>
      <w:r>
        <w:rPr>
          <w:rFonts w:ascii="Times New Roman CYR" w:hAnsi="Times New Roman CYR" w:cs="Times New Roman CYR"/>
          <w:sz w:val="24"/>
          <w:szCs w:val="24"/>
        </w:rPr>
        <w:tab/>
        <w:t>Створюються iншi забезпечення, що виникли внаслiдок  вiдомих минулих подiй, якщо їх оцiнка може бути розрахунково визначена, та погашення зобов'язань по ним ймовiрно призведе до зменшення ресурсiв за рiшенням головного бухгалтера за погодженням з генеральним директором.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w:t>
      </w:r>
      <w:r>
        <w:rPr>
          <w:rFonts w:ascii="Times New Roman CYR" w:hAnsi="Times New Roman CYR" w:cs="Times New Roman CYR"/>
          <w:sz w:val="24"/>
          <w:szCs w:val="24"/>
        </w:rPr>
        <w:tab/>
        <w:t>До квалiфiкацiйного активу вiдноситься будiвництво примiщень, будинкiв, будiвель, споруд,  виготовлення (монтаж) устаткування, реконструкцiю (модернiзацiю, добудову, дообладнання) об`єктiв основних засобiв, розробку (створення )програмного продукту та iнших нематерiальних активiв, якi тривають бiльше нiж 180 днiв.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w:t>
      </w:r>
      <w:r>
        <w:rPr>
          <w:rFonts w:ascii="Times New Roman CYR" w:hAnsi="Times New Roman CYR" w:cs="Times New Roman CYR"/>
          <w:sz w:val="24"/>
          <w:szCs w:val="24"/>
        </w:rPr>
        <w:tab/>
        <w:t>У разi безпосереднього позичання коштiв з метою створення квалiфiкацiйного активу,  сума  фiнансових витрат за цiєю позикою вiдноситься на вартiсть квалiфiкацiйного активу в перiод його створення в повному обсязi.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w:t>
      </w:r>
      <w:r>
        <w:rPr>
          <w:rFonts w:ascii="Times New Roman CYR" w:hAnsi="Times New Roman CYR" w:cs="Times New Roman CYR"/>
          <w:sz w:val="24"/>
          <w:szCs w:val="24"/>
        </w:rPr>
        <w:tab/>
        <w:t>Iншi фiнансовi витрати вiдносяться на вартiсть квалiфiкацiйного активу, як добуток  норми капiталiзацiї та середньозважених витрат на створення квалiфiкацiйного активу в перiод створення останнього.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Pr>
          <w:rFonts w:ascii="Times New Roman CYR" w:hAnsi="Times New Roman CYR" w:cs="Times New Roman CYR"/>
          <w:sz w:val="24"/>
          <w:szCs w:val="24"/>
        </w:rPr>
        <w:tab/>
        <w:t>Курсовi рiзницi по кредитам, що отриманi для фiнансування створення квалiфiкацiйного активу не включаються у вартiсть вiдповiдного активу, а визнаються витратами у вiдповiдному перiодi їх виникнення.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55.</w:t>
      </w:r>
      <w:r>
        <w:rPr>
          <w:rFonts w:ascii="Times New Roman CYR" w:hAnsi="Times New Roman CYR" w:cs="Times New Roman CYR"/>
          <w:sz w:val="24"/>
          <w:szCs w:val="24"/>
        </w:rPr>
        <w:tab/>
        <w:t xml:space="preserve">Платежi за договорами операцiйної оренди визнаються  доходами чи витратами на </w:t>
      </w:r>
      <w:r>
        <w:rPr>
          <w:rFonts w:ascii="Times New Roman CYR" w:hAnsi="Times New Roman CYR" w:cs="Times New Roman CYR"/>
          <w:sz w:val="24"/>
          <w:szCs w:val="24"/>
        </w:rPr>
        <w:lastRenderedPageBreak/>
        <w:t>прямолiнiйнiй основi протягом строку оренди.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56.</w:t>
      </w:r>
      <w:r>
        <w:rPr>
          <w:rFonts w:ascii="Times New Roman CYR" w:hAnsi="Times New Roman CYR" w:cs="Times New Roman CYR"/>
          <w:sz w:val="24"/>
          <w:szCs w:val="24"/>
        </w:rPr>
        <w:tab/>
        <w:t>За базу для обчислення податку з користування надрами прийнято розрахункову вартiсть  видобутої води з свердловини, що складається з прямих витрат на видобуток води за первинними документами та розподiлених видiв витрат за центрами &lt;обслуговування&gt; та &lt;допомiжне виробництво&gt;, що опосередковано пов'язаннi з видобутком води, за базу розподiлу  цих видiв витрат  прийнято вiдпрацьованi години персоналом центрiв для обслуговування процесу видобутку води.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57.</w:t>
      </w:r>
      <w:r>
        <w:rPr>
          <w:rFonts w:ascii="Times New Roman CYR" w:hAnsi="Times New Roman CYR" w:cs="Times New Roman CYR"/>
          <w:sz w:val="24"/>
          <w:szCs w:val="24"/>
        </w:rPr>
        <w:tab/>
        <w:t>Функцiональною валютою  фiнансової звiтностi вважається українська гривня.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58.</w:t>
      </w:r>
      <w:r>
        <w:rPr>
          <w:rFonts w:ascii="Times New Roman CYR" w:hAnsi="Times New Roman CYR" w:cs="Times New Roman CYR"/>
          <w:sz w:val="24"/>
          <w:szCs w:val="24"/>
        </w:rPr>
        <w:tab/>
        <w:t>Операцiї в iноземних валютах перераховуються у функцiональну валюту за курсами обмiну, що дiють на дати здiйснення операцiй. Монетарнi активи та зобов'язання , деномiнованi в iноземних валютах на дату звiтностi , перераховуються у функцiональну валюту за курсами обмiну, що встановленi на цю дату. Немонетарнi статтi, деномiнованi в iноземних валютах, перераховуються за курсами обмiну, що дiяли на дату операцiї.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59.</w:t>
      </w:r>
      <w:r>
        <w:rPr>
          <w:rFonts w:ascii="Times New Roman CYR" w:hAnsi="Times New Roman CYR" w:cs="Times New Roman CYR"/>
          <w:sz w:val="24"/>
          <w:szCs w:val="24"/>
        </w:rPr>
        <w:tab/>
        <w:t xml:space="preserve"> Витрати з податку на прибуток складаються з  поточного та вiдстроченого податкiв . Поточний податок на прибуток розраховується на основi   доходiв та витрат, що пiдпадають пiд оподаткування з використанням дiючих ставок оподаткування та будь-яких коригувань податку, що пiдлягає сплатi за попереднi роки.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60.</w:t>
      </w:r>
      <w:r>
        <w:rPr>
          <w:rFonts w:ascii="Times New Roman CYR" w:hAnsi="Times New Roman CYR" w:cs="Times New Roman CYR"/>
          <w:sz w:val="24"/>
          <w:szCs w:val="24"/>
        </w:rPr>
        <w:tab/>
        <w:t>Вiдстрочений податок розраховується на базi тимчасових рiзниць мiж балансовими сумами активiв та зобов'язань   iз застосуванням  очiкуваної  ставки з податку на прибуток в майбутнiх  перiодах.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w:t>
      </w:r>
      <w:r>
        <w:rPr>
          <w:rFonts w:ascii="Times New Roman CYR" w:hAnsi="Times New Roman CYR" w:cs="Times New Roman CYR"/>
          <w:sz w:val="24"/>
          <w:szCs w:val="24"/>
        </w:rPr>
        <w:tab/>
        <w:t>Змiни у вiдстрочених податкових активах та вiдстрочених податкових зобов'язання вiдображаються  у фiнансовiй звiтностi за рiк.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62.</w:t>
      </w:r>
      <w:r>
        <w:rPr>
          <w:rFonts w:ascii="Times New Roman CYR" w:hAnsi="Times New Roman CYR" w:cs="Times New Roman CYR"/>
          <w:sz w:val="24"/>
          <w:szCs w:val="24"/>
        </w:rPr>
        <w:tab/>
        <w:t>Чистий прибуток(збиток) на акцiю розраховується шляхом дiлення прибутку(збитку), що вiдноситься до власникiв простих акцiй , на середньозважену кiлькiсть простих акцiй, що перебувають в обiгу протягом перiоду.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63.</w:t>
      </w:r>
      <w:r>
        <w:rPr>
          <w:rFonts w:ascii="Times New Roman CYR" w:hAnsi="Times New Roman CYR" w:cs="Times New Roman CYR"/>
          <w:sz w:val="24"/>
          <w:szCs w:val="24"/>
        </w:rPr>
        <w:tab/>
        <w:t>Встановлено наступнi критерiї та якiснi ознаки суттєвостi iнформацiї про господарськi операцiї та статтi фiнансової звiтностi: для змiн у складi активiв,  зобов'язань, власного капiталу - у розмiрi 3% всiх активiв , для доходiв - 0.05%  суми загального доходу пiдприємства , для витрат  - 0.05% суми загальних витрат пiдприємства.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64.</w:t>
      </w:r>
      <w:r>
        <w:rPr>
          <w:rFonts w:ascii="Times New Roman CYR" w:hAnsi="Times New Roman CYR" w:cs="Times New Roman CYR"/>
          <w:sz w:val="24"/>
          <w:szCs w:val="24"/>
        </w:rPr>
        <w:tab/>
        <w:t>Звiтним сегментом вважається  дiяльнiсть пiдприємства з виробництва солоду  пивоварного ячмiнного.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65.</w:t>
      </w:r>
      <w:r>
        <w:rPr>
          <w:rFonts w:ascii="Times New Roman CYR" w:hAnsi="Times New Roman CYR" w:cs="Times New Roman CYR"/>
          <w:sz w:val="24"/>
          <w:szCs w:val="24"/>
        </w:rPr>
        <w:tab/>
        <w:t>Список пов`язаних сторiн надається бухгалтерiї на початок  звiтного  року та оновлюється щоквартально.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66.</w:t>
      </w:r>
      <w:r>
        <w:rPr>
          <w:rFonts w:ascii="Times New Roman CYR" w:hAnsi="Times New Roman CYR" w:cs="Times New Roman CYR"/>
          <w:sz w:val="24"/>
          <w:szCs w:val="24"/>
        </w:rPr>
        <w:tab/>
        <w:t>Фiнансова звiтнiсть пiдприємства подається користувачам вiдповiдно до законодавства України.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67.</w:t>
      </w:r>
      <w:r>
        <w:rPr>
          <w:rFonts w:ascii="Times New Roman CYR" w:hAnsi="Times New Roman CYR" w:cs="Times New Roman CYR"/>
          <w:sz w:val="24"/>
          <w:szCs w:val="24"/>
        </w:rPr>
        <w:tab/>
        <w:t>Контроль за дотриманням облiкової полiтики покладено на  головного бухгалтера товариства.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М.I.Дубiна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Pr>
          <w:rFonts w:ascii="Times New Roman CYR" w:hAnsi="Times New Roman CYR" w:cs="Times New Roman CYR"/>
          <w:b/>
          <w:bCs/>
          <w:sz w:val="24"/>
          <w:szCs w:val="24"/>
        </w:rPr>
        <w:lastRenderedPageBreak/>
        <w:t xml:space="preserve">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продукцiя - солод пивоварний свiтлий, Виробництво солоду пивоварного 150 072 т .Загальнi обсяги реалiзацiї (солод)  138 332 т .Експорт   23 465  Т (на рiвнi 2018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Сезоннi змiни попиту на солод пояснюються змiною рiвня споживання пива. Основним ринком збуту є Україна, а саме ПрАТ "Карлсберг Україна", АБI IНБЕВ Україна,  ТОВ ТВК "Перша приватна броварня-для людей як для себе".Зменшення продажiв у 2019 роцi зумовлене зменшенням попиту з боку великих пивоварних компанiй. Основним фактором виявилась порiвняно висока вартiсть пивоварного ячменю врожаю 2018 року при його посереднiй якостi через поганi погоднi умови.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постачальником сировини пивоварного ячменю є ТОВ "Суффле Агро Україна"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завершено будiвництво котельнi на вiдходах власного виробництва.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проведено реконструкцiю першої черги ящикiв солодорощення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замiна вентиляторiв солодорощення на енергоефективнi.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Будiвництво лiнiї вiдвантаження солоду №2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5)амiна енергострiчок на ящиках солодорощення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Проведено замiну лiфта в робочiй вежi елеватора;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Реконструйовано шнековий розстилаючий пристрiй на сушарцi солоду №1;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Встановлено нову потужну станцiю знезалiзнення води;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Проведено замiну норiї на елеваторi;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Завершено реконструкцiю пiд'їзного шляху до пiдприємства для вантажiвок-зерновозiв.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за рахунок кредитних лiнiй пiд гарантiї Групи Суффле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Довiдково: ступiнь зносу основних фондiв станом на 31.12.2019 - 49 %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та виробничi потужностi пiдприємства знаходяться за мiсцем юридичної адреси. . Збiльшення виробничих потужностей не передбачається.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Проводиться планова замiна основного транспортувального обладнання (норiй).</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впливу на навколишнє природне середовище не передбачається. Пiдприємство проводить планову замiну джерел викидiв в атмосферу старого зразку на новiтнi фiльтрувальнi системи iз зменшенням загальної кiлькостi джерел.</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Проблеми, які впливають на діяльність емітента; ступінь залежності від законодавчих або </w:t>
      </w:r>
      <w:r>
        <w:rPr>
          <w:rFonts w:ascii="Times New Roman CYR" w:hAnsi="Times New Roman CYR" w:cs="Times New Roman CYR"/>
          <w:b/>
          <w:bCs/>
          <w:sz w:val="24"/>
          <w:szCs w:val="24"/>
        </w:rPr>
        <w:lastRenderedPageBreak/>
        <w:t>економічних обмежень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Iстотною проблемою, що впливає на дiяльнiсть емiтента є слабка сировинна база України по якiсних показниках, а також сезоннi коливання цiн на енергоносiї.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перiод з жовтня по березень вiдбувається спад реалiзацiї.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неврожайнi роки значно впливає на прибутковiсть пiдприємства розмiр ввiзного мита на ячмiнь.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проблемою 2019 року були збiльшення вартостi електроенергiї через переход на нерегульований тариф, подорожчення сировини та її низька якiсть через несприятливi погоднi умови для врожаю 2018 року, матерiалiв.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проводиться за рахунок власних коштiв та банкiвьких кредитiв. В зв'язку з сезоннiстю закупiвлi сировини iснує необхiднiсть залучення значних кредитних ресурсiв.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31.12.2019р. укладено договорiв на суму - 1 931 662 584грн. Недовиконано на суму 529 770 314грн. та вiд виконання яких очiкується прибуток на суму 248 702 115грн.</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6 653 250 USD недовиконано на суму  250 593 USD та вiд виконання яких очiкується прибуток на суму 0  USD</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3 754 625 EUR недовиконано на суму 301 308 EUR та вiд виконання яких очiкується прибуток на суму 254 600 EUR</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Ведуться переговори про пiдписання нових договорiв на реалiзацiю солоду а 2020 з виробниками пива на суму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1 148 727 162грн + 6 667 549 EUR + 6 852 600  USD</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Прикладенi зусилля спiвпрацювати з усiма гравцями ринку будуть пiдтримуватись. Не можна забувати про традицiйних споживачiв та ССЗ залишається гнучким щодо їхнiх потреб i пропонує товари та послуги. Перспективним є поглиблення спiвпрацi з АБI IнБев Україна та пiдвищення якостi продукцiї вiдповiдно до специфiкацiй замовникiв. Група Суффле, як один iз головних акцiонерiв ПрАТ &lt;Славутський солодовий завод&gt;, не змiнюватиме прiоритетiв своєї полiтики та направлятиме iнвестицiї," know-how" та корпоративну пiдтримку в наступних напрямках: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Зменшення енергоспоживання виробництва;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Зменшення впливу на навколишнє середовище;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Спiвпраця iз фермерами та впровадження перспективних сортiв пивоварного ячменю;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Збiльшення кiлькостi споживачiв солоду;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Вдосконалення методiв ведення бiзнесу;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нових та iнновацiйних технологiй та iнформацiйного забезпечення.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Опис політики емітента щодо досліджень та розробок, вказати суму витрат на дослідження та розробку за звітний рік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власнi розробки не впроваджувались.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емiтента протягом останнiх рокiв є прибутковою за винятком 2015 року, що пояснюється втратою ринку через вiйськовi дiї на сходi та аннексiєю Криму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Зафiксованi такi результати нашої дiяльностi в 2019-му роцi, в порiвняннi iз 2018-м роком: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Виробництво солоду пивоварного 150 072 т (-1.8%)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Загальнi обсяги реалiзацiї (солод)  138 332 т (-12.9%)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Експорт   23 465  Т (на рiвнi 2018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Реалiзовано продукцiї/послуг на суму 1 843,7млн грн (+11,9%)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Сукупний дохiд у 2019 роцi склав 70 026 тис грн</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CD10EB" w:rsidRPr="00F563AB">
        <w:trPr>
          <w:trHeight w:val="200"/>
        </w:trPr>
        <w:tc>
          <w:tcPr>
            <w:tcW w:w="2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Персональний склад</w:t>
            </w:r>
          </w:p>
        </w:tc>
      </w:tr>
      <w:tr w:rsidR="00CD10EB" w:rsidRPr="00F563AB">
        <w:trPr>
          <w:trHeight w:val="200"/>
        </w:trPr>
        <w:tc>
          <w:tcPr>
            <w:tcW w:w="2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 складi 3-х осiб</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Жан-Мiшель Суффле, Гiйом Кутюр, Стефан Паяр</w:t>
            </w:r>
          </w:p>
        </w:tc>
      </w:tr>
      <w:tr w:rsidR="00CD10EB" w:rsidRPr="00F563AB">
        <w:trPr>
          <w:trHeight w:val="200"/>
        </w:trPr>
        <w:tc>
          <w:tcPr>
            <w:tcW w:w="2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Дирекцiя</w:t>
            </w:r>
          </w:p>
        </w:tc>
        <w:tc>
          <w:tcPr>
            <w:tcW w:w="4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 складi 5 осiб</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xml:space="preserve">Бiлий Роман Миколайович - Директор з 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xml:space="preserve">Нiкiтiн Константiн - Директор з проектiв, контролює виконання </w:t>
            </w:r>
            <w:r w:rsidRPr="00F563AB">
              <w:rPr>
                <w:rFonts w:ascii="Times New Roman CYR" w:hAnsi="Times New Roman CYR" w:cs="Times New Roman CYR"/>
              </w:rPr>
              <w:lastRenderedPageBreak/>
              <w:t>iнвестпроектiв, узгоджує їх на рiвнi головного офiсу, планує майбутнi iнвестицiйнi проекти. Права пiдпису локальних документiв не має.</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xml:space="preserve">Пасселанд Крiстоф - Директор 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CD10EB" w:rsidRPr="00F563AB">
        <w:trPr>
          <w:trHeight w:val="200"/>
        </w:trPr>
        <w:tc>
          <w:tcPr>
            <w:tcW w:w="9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Дата набуття повноважень та термін, на який обрано (призначено)</w:t>
            </w:r>
          </w:p>
        </w:tc>
      </w:tr>
      <w:tr w:rsidR="00CD10EB" w:rsidRPr="00F563AB">
        <w:trPr>
          <w:trHeight w:val="200"/>
        </w:trPr>
        <w:tc>
          <w:tcPr>
            <w:tcW w:w="9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Генеральний директор,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Дубiна Микола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 Державна академiя водного господарства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ПАТ "Славутський солодовий завод", Директор по виробництву</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25.04.2008, до переобрання</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2019р.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Фiнансовий директор,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Пасселанд Крiстоф</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д/в</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10.06.2014,  до переобрання</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2019р.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Директор з адмiнiстрацiї,систем безпеки та якостi,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Бiлий Роман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Служба в  органах держбезпеки на посадах оперативного складу</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07.01.2001,  безстроково</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2019р.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Технiчний директор,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Арещенков Сергiй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ПрАТ "Славутський солодовий завод", Головний технiчний керiвник</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20.12.2018, безстроково</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Директор з проектiв,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Нiкiтiн Константiн</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Фiнансовий аналiтик Група Суффле (Францiя)</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xml:space="preserve">01.11.2015,  до </w:t>
            </w:r>
            <w:r w:rsidRPr="00F563AB">
              <w:rPr>
                <w:rFonts w:ascii="Times New Roman CYR" w:hAnsi="Times New Roman CYR" w:cs="Times New Roman CYR"/>
              </w:rPr>
              <w:lastRenderedPageBreak/>
              <w:t>переобрання</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Призначений на посаду у звязку з перерходом Венсана Грай на iншу роботу.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 Оплата працi згiдно контракту.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має.Змiн у персональному складi посадових осiб на протязi 2018р. не було.</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Суффле Жан Мiшель</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д/в</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24.04.2019,  3 роки</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2019р.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Володiє 0,00004% акцiй товариства</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Паяр Стефан</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 Магiстр  у Школа Бiзнесу ESCP</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"Assystem" Францiя, Посад у товариствi не займав</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27.04.2019,  3 роки</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Повноваження посадової особи згiдно Статуту Товариства.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 Акцiями товариства не володiє, є представником компанiї "МIЖНАРОДНА КОМПАНIЯ СОЛОДОВЕНЬ" (COMPAGNIE INTERNATIONALE DE MALTERIES). Займає посаду Головного юрисконсульта Групи Суффле</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Кутюр Гiйом</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 Paris IX Dauphine, 1998 рiк випуску,  магiстр менеджменту; Ecole Centrale de Lyon, 1997 рiк випуску, магiстр iнженерiї</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Посад у товариствi не займав</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27.04.2019,  3 роки</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Обрано за рiшенням ЗЗА вiд 24.04.2019р.</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Змiн в персональному складi посадових осiб протягом 2019 року не було.</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Є Представником  ЄБРР, який володiє 24% акцiй</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Петерс Брiс</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 IGIA IMIA (1996р. випуску),  Магiстр мiжнародного управлiння харчової промисловостi,IHED</w:t>
            </w:r>
            <w:r w:rsidRPr="00F563AB">
              <w:rPr>
                <w:rFonts w:ascii="Times New Roman CYR" w:hAnsi="Times New Roman CYR" w:cs="Times New Roman CYR"/>
              </w:rPr>
              <w:lastRenderedPageBreak/>
              <w:t>REA (1995 рiк випуску)</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16</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д/в</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27.04.2019,  3 роки</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Голова ревiзiйної комiсiї Петерс Брiс  особисто акцiями не володiє, а є представником АТ "Мiжнародна компанiя солодовень" яке володiє 72,61% акцiй товариства. Займає посаду Головного фiнансового директора Солодового департаменту Групи "Суффле"</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2019р.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Щур Тетяна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ПАТ "Славутський солодовий завод", Старший економiст ВАТ "Славутський солодовий завод"</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16.06.2004,  безстроково</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не надала згоди на оприлюднення паспортних даних в складi рiчного звiту за 2018рiк.</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2018р.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Левченко Олег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 Нацiональний унiверситет "Острозька академiя"</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ПАТ "Славутський солодовий завод", ПАТ "Славутський солодовий завод", начальник вiддiлу iнформацiйних технологiй та зв'язку</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27.04.2017,  3 роки</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2018р.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Прилуцька Марина Степанiвна</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 Калузький технiкум харчової промисловостi 28.02.1987р.Подiльський державний аграрно-технiчний унiверситет 2009р.</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ПАТ "Славутський солодовий завод", ПАТ "Славутський солодовий завод", iнженер-технолог цеху основного виробництва</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27.04.2017,  3 роки</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2018р.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r w:rsidR="00CD10EB" w:rsidRPr="00F563AB">
        <w:trPr>
          <w:trHeight w:val="200"/>
        </w:trPr>
        <w:tc>
          <w:tcPr>
            <w:tcW w:w="9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13</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Директор технiчний</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xml:space="preserve">Арещенков Сергiй </w:t>
            </w:r>
            <w:r w:rsidRPr="00F563AB">
              <w:rPr>
                <w:rFonts w:ascii="Times New Roman CYR" w:hAnsi="Times New Roman CYR" w:cs="Times New Roman CYR"/>
              </w:rPr>
              <w:lastRenderedPageBreak/>
              <w:t>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1959</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xml:space="preserve">ПАТ "Славутський </w:t>
            </w:r>
            <w:r w:rsidRPr="00F563AB">
              <w:rPr>
                <w:rFonts w:ascii="Times New Roman CYR" w:hAnsi="Times New Roman CYR" w:cs="Times New Roman CYR"/>
              </w:rPr>
              <w:lastRenderedPageBreak/>
              <w:t>солодовий завод", ПрАТ "Славутський солодовий завод" - головний технiчний керiвник</w:t>
            </w:r>
          </w:p>
        </w:tc>
        <w:tc>
          <w:tcPr>
            <w:tcW w:w="155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 xml:space="preserve">20.12.2018, </w:t>
            </w:r>
            <w:r w:rsidRPr="00F563AB">
              <w:rPr>
                <w:rFonts w:ascii="Times New Roman CYR" w:hAnsi="Times New Roman CYR" w:cs="Times New Roman CYR"/>
              </w:rPr>
              <w:lastRenderedPageBreak/>
              <w:t>безстроково</w:t>
            </w:r>
          </w:p>
        </w:tc>
      </w:tr>
      <w:tr w:rsidR="00CD10EB" w:rsidRPr="00F563AB">
        <w:trPr>
          <w:trHeight w:val="200"/>
        </w:trPr>
        <w:tc>
          <w:tcPr>
            <w:tcW w:w="9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Опис:</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Змiн у персональному складi посадових осiб на протязi 2019р. не було.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Повноваження посадової особи згiдно Статуту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Посадова особа товариства непогашеної судимостi за корисливi та посадовi злочини не має.</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CD10EB" w:rsidRPr="00F563AB">
        <w:trPr>
          <w:trHeight w:val="200"/>
        </w:trPr>
        <w:tc>
          <w:tcPr>
            <w:tcW w:w="3050" w:type="dxa"/>
            <w:vMerge w:val="restart"/>
            <w:tcBorders>
              <w:top w:val="single" w:sz="6" w:space="0" w:color="auto"/>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Кількість за видами акцій</w:t>
            </w:r>
          </w:p>
        </w:tc>
      </w:tr>
      <w:tr w:rsidR="00CD10EB" w:rsidRPr="00F563AB">
        <w:trPr>
          <w:trHeight w:val="200"/>
        </w:trPr>
        <w:tc>
          <w:tcPr>
            <w:tcW w:w="3050" w:type="dxa"/>
            <w:vMerge/>
            <w:tcBorders>
              <w:top w:val="nil"/>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b/>
                <w:bCs/>
              </w:rPr>
              <w:t>Привілейовані іменні</w:t>
            </w:r>
          </w:p>
        </w:tc>
      </w:tr>
      <w:tr w:rsidR="00CD10EB" w:rsidRPr="00F563AB">
        <w:trPr>
          <w:trHeight w:val="200"/>
        </w:trPr>
        <w:tc>
          <w:tcPr>
            <w:tcW w:w="3050" w:type="dxa"/>
            <w:tcBorders>
              <w:top w:val="nil"/>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Генеральний директор, член дирекцiї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Дубiна Микола Iванович</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0.00002</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Фiнансовий директор, член дирекцiї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Пасселанд Крiстоф</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Директор з адмiнiстрацiї,систем безпеки та якостi, член дирекцiї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Бiлий Роман Миколайович</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0.000012</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Технiчний директор, член дирекцiї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Арещенков Сергiй Володимирович</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Директор з проектiв, член дирекцiї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Нiкiтiн Константiн</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Суффле Жан Мiшель</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Паяр Стефан</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Кутюр Гiйом</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Петерс Брiс</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Щур Тетяна Володимирiвна</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0.00004</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Левченко Олег Iванович</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Прилуцька Марина Степанiвна</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Директор технiчний</w:t>
            </w:r>
          </w:p>
        </w:tc>
        <w:tc>
          <w:tcPr>
            <w:tcW w:w="4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Арещенков Сергiй Володимирович</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звiльненi виконавчого директора Тiтова Iгоря Леонiдовича виплачена компенсацiя за невикористану вiдпустку в сумi 1706,9 грн. Iншим посадовим особам компенсацiї та винагороди не виплачувались.</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АТ "Мiжнародна Компанiя Солодовень" (Joint-stock company "Compagnie International Malteries"</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419345228</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Францiя, Ножан-сюр-Сен,, Генерала Саррай</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72.61</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Європейський банк реконструкцiї i розвитку (European Bank for Reconstruction and Development)</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BN</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Велика Британiя, Лондон, One Exchange Square, London EC2A 2JN</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Приватне акцiонерне товариство "Прикарпатська iнвестицiйна компанiя "ПРIНКОМ"</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20542223</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76019, Iвано-Франкiвська обл., Iвано-Франкiвськ, вул. Василiянок,22</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0.00599</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ТОВАРИСТВО З ОБМЕЖЕНОЮ ВIДПОВIДАЛЬНIСТЮ "ЗАВЧАСНИЙ ЦВЯХ"</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40971686</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65009, Одеська обл., Одеса, Генуезька, буд.1/2</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0.051202</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Товариство з обмеженою вiдповiдальнiстю "Радамант Iнвест"</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42858775</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03150, Київ, вул.Червоноармiйська, буд.64</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0.110418</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Товариство з обмеженою вiдповiдальнiстю "Компанiя з управлiння активами та адмiнiстрування пенсiйних фондiв "Актив Плюс"</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32977421</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01030, Київ, вул. Б.Хмельницького, буд.32, оф.49</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0.008095</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ПрАТ Iнвестицiйна компанiя IТТ-iнвест</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23517763</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80000, Київ, вул Виборська,1</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0.002764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ПрАТ "IВЕКС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21600862</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01032, Київська обл., Київ, блв. Т.Шевченка,33 (лiтН)</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ЗАТ "ФОЇЛ СЕКЮРIТIЗ НЬЮ ЮРОП"</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30970210</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04071, Київська обл., Київ, Верхнiй Вал,4А, 2 пов.</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"Iст Стратеджiкал Iнтернейшнл Секюрiтiс"</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24546778</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1218, Київська обл., Київ, вул. Набережно-Лугова,7</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0.008095</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"Сфера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31957509</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04108, Київська обл., Київ, вул. Тираспiльська,12</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"Брукс"</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24227872</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49000, Дніпропетровська обл., м. Днiпро, вул. Ливарна,13</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0.002554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Iнвестицiйно-фiнансова компанiя "Профiнвест"</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33601866</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4050, Київська обл., Київ, вул. Бiлоруська,30</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"Метiда-Капiтал"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34556818</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98100, м. Феодосiя, вул. Десантникiв Коробкова,7/13</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"Планета-Брок"</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19034102</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0453, Київська обл., Київ, вул. Кудрявський Узвiз,7</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0.001861</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"Роял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34413203</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03150, Київська обл., Київ, вул. Димитрова,5</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0.000004</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ТОВ "Роял Капiтал"</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00006281</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1591, США, Флорида р-н, Помпано Бiч, 3 оф.8</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0.000578</w:t>
            </w:r>
          </w:p>
        </w:tc>
      </w:tr>
      <w:tr w:rsidR="00CD10EB" w:rsidRPr="00F563AB">
        <w:trPr>
          <w:trHeight w:val="200"/>
        </w:trPr>
        <w:tc>
          <w:tcPr>
            <w:tcW w:w="29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ЗВФ ВАТ "IК Траст" "Кривбас-Траст"</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23927314</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50000, Дніпропетровська обл., Кривий Рiг, вул К. Маркса,51</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0.00057</w:t>
            </w:r>
          </w:p>
        </w:tc>
      </w:tr>
      <w:tr w:rsidR="00CD10EB" w:rsidRPr="00F563AB">
        <w:trPr>
          <w:trHeight w:val="200"/>
        </w:trPr>
        <w:tc>
          <w:tcPr>
            <w:tcW w:w="7920" w:type="dxa"/>
            <w:gridSpan w:val="3"/>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CD10EB" w:rsidRPr="00F563AB">
        <w:trPr>
          <w:trHeight w:val="200"/>
        </w:trPr>
        <w:tc>
          <w:tcPr>
            <w:tcW w:w="7920" w:type="dxa"/>
            <w:gridSpan w:val="3"/>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1866 акцiонерiв - фiзичних осiб</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w:t>
            </w:r>
          </w:p>
        </w:tc>
      </w:tr>
      <w:tr w:rsidR="00CD10EB" w:rsidRPr="00F563AB">
        <w:trPr>
          <w:trHeight w:val="200"/>
        </w:trPr>
        <w:tc>
          <w:tcPr>
            <w:tcW w:w="7920" w:type="dxa"/>
            <w:gridSpan w:val="3"/>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CD10EB" w:rsidRDefault="00CD10EB">
      <w:pPr>
        <w:widowControl w:val="0"/>
        <w:autoSpaceDE w:val="0"/>
        <w:autoSpaceDN w:val="0"/>
        <w:adjustRightInd w:val="0"/>
        <w:spacing w:after="0" w:line="240" w:lineRule="auto"/>
        <w:jc w:val="center"/>
        <w:rPr>
          <w:rFonts w:ascii="Times New Roman CYR" w:hAnsi="Times New Roman CYR" w:cs="Times New Roman CYR"/>
          <w:sz w:val="28"/>
          <w:szCs w:val="28"/>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Враховуючи всi ризики та виклики, що виникають в ходi господарської дiяльностi, очiкується стабiльний розвиток та зростання господарського потенцiалу Товариства. До чинникiв, котрi сприятимуть господарському розвитку Товариства, можна вiднести наступнi: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модернiзацiя основних засобiв та постiйна замiна старих основних засобiв;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впровадження iнновацiйних методiв управлiння дiяльнiстю Товариства;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збiльшення частки присутностi на ринку шляхом ефективної маркетингової стратегiї;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зменшення енергоспоживання;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зменшення впливу на навколишнє середовище;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спiвпраця з фермерами та впровадження нових сортiв ячменю;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збiльшення кiлькостi покупцiв солоду.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були реалiзованi наступнi iнвестицiйнi проекти: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Проведено замiну лiфта в робочiй вежi елеватора;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Реконструйовано шнековий розстилаючий пристрiй на сушарцi солоду №1;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Встановлено нову потужну станцiю знезалiзнення води;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Проведено замiну норiї на елеваторi;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Завершено реконструкцiю пiд'їзного шляху до пiдприємства для вантажiвок-зерновозiв.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цих проектiв пiдвищило ефективнiсть роботи пiдприємства.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План закупiвлi ячменю пивоварного реалiзовано на 100%.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плануємо втримати рiвень виробництва й реалiзацiї продукцiї пiдприємства у вiдповiдностi iз встановленою проектною потужнiстю.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не укладались та правочини з похiдними цiнними паперами не вчинялись.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w:t>
      </w:r>
      <w:r>
        <w:rPr>
          <w:rFonts w:ascii="Times New Roman CYR" w:hAnsi="Times New Roman CYR" w:cs="Times New Roman CYR"/>
          <w:b/>
          <w:bCs/>
          <w:sz w:val="24"/>
          <w:szCs w:val="24"/>
        </w:rPr>
        <w:lastRenderedPageBreak/>
        <w:t>використовуються операції хеджування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Полiтична й економiчна ситуацiя в Українi в останнi роки нестабiльна, їй притаманнi особливостi ринку, що розвивається. Незважаючи на те, що в 2016-2019 рр. ситуацiя як i ранiше залишалася нестабiльною, українська економiка почала демонструвати деякi ознаки пожвавлення, такi, як уповiльнення темпiв iнфляцiї, зниження темпiв знецiнення гривнi по вiдношенню до основних iноземних валют, зростання мiжнародних резервiв НБУ i загальне пожвавлення дiлової активностi.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 що пов'язанi з фiнансовими iнструментами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зазнає кредитного ризику, ризику лiквiдностi та ринкового ризику у зв'язку з утримуваними нею фiнансовими iнструментами. Основнi ризики та невизначенiсть, з якими стикається Товариство, а також заходи, що вживаються для управлiння ризиками, описанi в Примiтцi 21 до фiнансової звiтностi.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 це ризик того, що змiни ринкових цiн, наприклад, обмiнних курсiв iноземних валют, процентних ставок, матимуть негативний вплив на прибуток Товариства або на вартiсть наявних у неї фiнансових iнструментiв. Мета управлiння ринковим ризиком полягає в тому, щоб контролювати схильнiсть до ринкового ризику i утримувати її в допустимих межах, при цьому домагаючись оптимiзацiї прибутковостi iнвестицiй.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виникає тодi, коли невиконання контрагентами їх зобов'язань може призвести до зменшення надходжень вiд утримуваного фiнансового активу на звiтну дату. Товариство застосовує полiтику, яка повинна забезпечити, щоб продажi продукцiї та послуг здiйснювалися клiєнтам, якi мають належну кредитну iсторiю, та здiйснює постiйний монiторинг дебiторської заборгованостi за строками виникнення.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кредитним ризиком, пов'язаним з торговою дебiторською заборгованiстю, здiйснюється на основi встановлених полiтик, процедур i систем контролю, що вiдносяться до управлiння кредитним ризиком клiєнтiв.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того, що Компанiя не зможе виконати свої фiнансовi зобов'язання, розрахунки за якими здiйснюються шляхом передачi грошових коштiв або iншого фiнансового активу. Пiдхiд Компанiї до управлiння лiквiднiстю полягає в тому, щоб забезпечити, наскiльки це можливо, постiйну наявнiсть у Компанiї лiквiдних коштiв, достатнiх для погашення своїх зобов'язань в строк, як в звичайних, так i в стресових умовах, не допускаючи виникнення неприйнятних збиткiв i не пiддаючи ризику репутацiю Компанiї.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пiдтримує мiнiмальний рiвень грошових коштiв та iнших високолiквiдних iнструментiв на рiвнi, який перевищує очiкуваний вiдтiк грошових коштiв для виконання зобов'язань протягом наступних 5 днiв. Компанiя також вiдстежує рiвень очiкуваного припливу грошових коштiв вiд погашення торгової та iншої дебiторської заборгованостi та очiкуваний вiдтiк у зв'язку з погашенням торгової та iншої кредиторської заборгованостi.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дiяльнiсть вiдповiдно до Принципiв (Кодексу) корпоративного управлiння, затвердженого Загальними зборами акцiонерiв 27.04.2017 року та опублiкованого на власному вебсайтi  www.malthouse.km.ua</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Вищим органом управлiння Товариства є Загальнi збори акцiонерiв, до компетенцiї яких належить вирiшення основних питань дiяльностi Товариства, що закрiпленi у Статутi Товариства. Загальнi збори збираються як правило 1 раз на рiк, протягом останнiх 3 рокiв позачерговi збори не збирались. Останнiми зборами акцiонерiв були затвердженi звiти Дирекцiї та Наглядової ради, фiнансова звiтнiсть, визначено розмiр та порядок виплати дивiдендiв, затвердженi значнi правочини та прийнята нова редакцiя Статуту товариства.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Статутi товариства чiтко розподiленi повноваження контролюючого органу - Наглядової ради у складi 3-х осiб та виконавчого органу - Дирекцiї у складi 5 осiб. Наглядова рада обирається загальними зборами акцiонерiв термiном на 3 роки, а члени Дирекцiї призначаються рiшенням Наглядової ради на термiн, визначений Наглядовою радою. Припинення повноважень членiв Дирекцiї затверджується Наглядовою радою. Роботою Дирекцiї керує Генеральний директор. Засiдання Наглядової ради вiдбуваються в середньому один раз на квартал, а за необхiдностi затвердження важливих рiшень щодо фiнансового забезпечення дiяльностi Товариства i частiше. Останнiми рiшеннями Наглядової ради були призначення компанiї КПМГ в якостi аудитора для затвердження рiчної звiтностi Товариства,затвердження умов кредитних договорiв з банками щодо фiнансування поточної дiяльностi Товариства, зокрема закупiвлi сировини, енергоносiїв тощо, затвердження змiн у персональному складi Дирекцiї.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Засiдання Дирекцiї як правило вiдбуваються один раз на мiсяць. Останнiми рiшеннями Дирекцiї були затвердження виплати премiї персоналу за пiдсумками кварталу згiдно Положення про премiювання, а також затвердження кiлькостi рiзних видiв виробничих вiдходiв за поточний мiсяць для формування виробничого звiту.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вiдповiдно до укладених з ними цивiльно-правових договорiв не отримують винагороди за виконання своїх посадових обов'язкiв.  Члени Дирекцiї виконують свої обов'язки на контрактнiй основi з визначеною контрактом оплатою працi. Контракти вiд iменi Товариства пiдписуються Генеральним директором.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Вiдхилень вiд положень Принципiв корпоративного управлiння Товариство не допускає.</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CD10EB" w:rsidRPr="00F563AB">
        <w:trPr>
          <w:trHeight w:val="253"/>
        </w:trPr>
        <w:tc>
          <w:tcPr>
            <w:tcW w:w="6000" w:type="dxa"/>
            <w:gridSpan w:val="2"/>
            <w:vMerge w:val="restart"/>
            <w:tcBorders>
              <w:top w:val="single" w:sz="6" w:space="0" w:color="auto"/>
              <w:bottom w:val="nil"/>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позачергові</w:t>
            </w:r>
          </w:p>
        </w:tc>
      </w:tr>
      <w:tr w:rsidR="00CD10EB" w:rsidRPr="00F563AB">
        <w:trPr>
          <w:trHeight w:val="200"/>
        </w:trPr>
        <w:tc>
          <w:tcPr>
            <w:tcW w:w="6000" w:type="dxa"/>
            <w:gridSpan w:val="2"/>
            <w:vMerge/>
            <w:tcBorders>
              <w:top w:val="nil"/>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6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08.04.2019</w:t>
            </w:r>
          </w:p>
        </w:tc>
      </w:tr>
      <w:tr w:rsidR="00CD10EB" w:rsidRPr="00F563AB">
        <w:trPr>
          <w:trHeight w:val="200"/>
        </w:trPr>
        <w:tc>
          <w:tcPr>
            <w:tcW w:w="6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99.51</w:t>
            </w:r>
          </w:p>
        </w:tc>
      </w:tr>
      <w:tr w:rsidR="00CD10EB" w:rsidRPr="00F563AB">
        <w:trPr>
          <w:trHeight w:val="200"/>
        </w:trPr>
        <w:tc>
          <w:tcPr>
            <w:tcW w:w="2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ПОРЯДОК  ДЕННИЙ:</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1. Про обрання лiчильної комiсiї.</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2. Про обрання робочих органiв та затвердження регламенту роботи рiчних загальних зборiв акцiонерiв.</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lastRenderedPageBreak/>
              <w:t>3. Про затвердження порядку та способу засвiдчення бюлетенiв для голосування на рiчних загальних зборах акцiонерiв.</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4. Про затвердження рiчного звiту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5. Про прийняття рiшення за наслiдками розгляду звiту Дирекцiї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6. Про прийняття рiшення за наслiдками розгляду звiту Наглядової Ради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7. Про прийняття рiшення за наслiдками розгляду звiту Ревiзiйної Комiсiї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8. Про визначення порядку розподiлу прибутку та збиткiв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9. Про затвердження значних правочинiв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10. Про припинення повноважень та обрання членiв Наглядової ради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11. Про припинення повноважень та обрання членiв Ревiзiйної комiсiї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Пропозицiй до перелiку питань порядку денного не надходило.</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Результати розгляду питань порядку денного:</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1. Лiчильна комiсiя обрана в складi 3-х осiб:  Броновицька Т.М- голова комiсiї, .Чеберяк Т.М, Бражук Л.В. - члени комiсiї. </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2.Головою зборiв обрано Бiлого Р.М., секретарем зборiв Мартинову С.Л.</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3. Затверджено порядок та способ засвiдчення бюлетенiв для голосування на загальних зборах акцiонерiв.</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4. Затверджено звiт Дирекцiї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5.Затверджено звiт Наглядової  Ради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6.Затверджено Звiт та висновки Ревiзiйної  комiсiї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7.Затверджено рiчну фiнансову звiтнiсть Товариства за 2018 рiк.</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8.Про визначення порядку розподiлу прибутку та покриття збиткiв Товариства за 2018 рiк. </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Рiшення: Прибуток направити на розвиток Товариства та на поповнення обiгових коштiв, за пiдсумками фiнансово-господарської дiяльностi за 2018 рiк дивiденди не нараховувати та не сплачувати.</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9. Затверджено значнi правочини:</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Попередньо схвалити укладення договору (договорiв) з реалiзацiї солоду та ячменю  в межах  загальної суми   2 700  млн. грн., протягом одного року, починаючи з дня проведення цих загальних зборiв акцiонерiв. З цiєю ж метою попередньо схвалити укладення договору (договорiв) факторингу в межах загальної суми 2 300  млн. грн., протягом одного року, починаючи з дня проведення цих загальних зборiв акцiонерiв.</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Попередньо схвалити укладення договору (договорiв) з закупiвлi ячменю в межах  загальної суми 2 000 млн. грн., протягом одного року, починаючи з дня проведення цих загальних зборiв акцiонерiв.</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Для забезпечення фiнансування виробничої дiяльностi Товариства попередньо схвалити укладення та пролонгацiю кредитного договору (договорiв) в межах загальної суми 1 800 млн. грн., протягом одного року, починаючи з дня проведення цих загальних зборiв акцiонерiв.</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Для забезпечення виробничої дiяльностi Товариства попередньо схвалити укладення договору (договорiв) на закупiвлю природного газу в об'ємi 6 000 тис. м3 за цiнами, що не перевищують встановленi НАК Нафтогаз України, а також договору (договорiв) на закупiвлю електроенергiї в об'ємi 16 000 тис. КВт*год за цiнами, що не перевищують встановленi НКРЕ.</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10. Про припинення повноваження та обрання членiв Наглядової ради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ПРИЙНЯТЕ РIШЕННЯ:</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Припинити повноваження членiв Наглядової ради у повному складi починаючи з 24 квiтня 2019 року. Звiльнити вiд вiдповiдальностi звiльнених членiв Наглядової </w:t>
            </w:r>
            <w:r w:rsidRPr="00F563AB">
              <w:rPr>
                <w:rFonts w:ascii="Times New Roman CYR" w:hAnsi="Times New Roman CYR" w:cs="Times New Roman CYR"/>
              </w:rPr>
              <w:lastRenderedPageBreak/>
              <w:t>Ради пiд час та у зв'язку iз виконанням ними функцiй членiв Наглядової Ради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Обрати Наглядову раду Товариства в наступному складi: </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"Жан-Мiшель Суффле, Генеральний директор "Етаблiссман Суффле";</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"Гiйом Кутюр, комерцiйний директор солодового департаменту Групи Суффле;</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"Стефан Паяр, головний юрисконсульт  Групи Суффле.</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Затвердити наступнi умови цивiльно-правових договорiв з членами Наглядової ради:</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Члени Наглядової ради здiйснюють свої обов'язки за цивiльно-правовими угодами на безоплатнiй основi. Будь-яка постiйна або додаткова оплата для них не передбачена. Товариство зобов'язане створити всi необхiднi умови для здiйснення членом Наглядової ради його дiяльностi вiдповiдно до його обов'язкiв, забезпечити його всiма видами iнформацiї, компенсувати його витрати пов'язанi з виконанням його функцiй на територiї України.</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Уповноважити Генерального директора М.I. Дубiну пiдписати договори з  членами Наглядової ради.</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11. Про припинення повноваження та обрання членiв Ревiзiйної комiсiї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ПРИЙНЯТЕ РIШЕННЯ:Припинити повноваження членiв Ревiзiйної комiсiї у повному складi починаючи з 24 квiтня 2019 року. Звiльнити вiд вiдповiдальностi звiльнених членiв Ревiзiйної комiсiї пiд час та у зв'язку iз виконанням ними функцiй членiв Ревiзiйної комiсiї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Обрати Брiса Петерса - фiнансового директора солодового департаменту Групи Суффле, головою Ревiзiйної комiсiї Товариства, Левченка Олега Iвановича - начальника вiддiлу iнформацiйних технологiй Приватного акцiонерного товариства "Славутський солодовий завод" та Прилуцьку Марину Степанiвну - оператора виробничої дiльницi 6 розряду Приватного акцiонерного товариства "Славутський солодовий завод", - членами Ревiзiйної комiсiї Товариства.</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Затвердити наступнi умови цивiльно-правових договорiв з членами Ревiзiйної комiсiї:</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Члени Ревiзiйної комiсiї здiйснюють свої обов'язки за цивiльно-правовими угодами на безоплатнiй основi. Будь-яка постiйна або додаткова оплата для них не передбачена. Товариство зобов'язане створити всi необхiднi умови для здiйснення членом Ревiзiйної комiсiї його дiяльностi вiдповiдно до його обов'язкiв, забезпечити його всiма видами iнформацiї, компенсувати його витрати пов'язанi з виконанням його функцiй на територiї України.</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Уповноважити Генерального директора М.I.Дубiну пiдписати договори з членами Ревiзiйної комiсiї.</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 </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Позачерговi збори не проводились</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CD10EB" w:rsidRPr="00F563AB">
        <w:trPr>
          <w:trHeight w:val="200"/>
        </w:trPr>
        <w:tc>
          <w:tcPr>
            <w:tcW w:w="5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lastRenderedPageBreak/>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CD10EB" w:rsidRPr="00F563AB">
        <w:trPr>
          <w:trHeight w:val="200"/>
        </w:trPr>
        <w:tc>
          <w:tcPr>
            <w:tcW w:w="5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CD10EB" w:rsidRPr="00F563AB">
        <w:trPr>
          <w:trHeight w:val="200"/>
        </w:trPr>
        <w:tc>
          <w:tcPr>
            <w:tcW w:w="5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b/>
                <w:bCs/>
                <w:sz w:val="24"/>
                <w:szCs w:val="24"/>
              </w:rPr>
              <w:t>Залежний член наглядової ради</w:t>
            </w:r>
          </w:p>
        </w:tc>
      </w:tr>
      <w:tr w:rsidR="00CD10EB" w:rsidRPr="00F563AB">
        <w:trPr>
          <w:trHeight w:val="200"/>
        </w:trPr>
        <w:tc>
          <w:tcPr>
            <w:tcW w:w="5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Жан-Мiшель Суффле</w:t>
            </w:r>
          </w:p>
        </w:tc>
        <w:tc>
          <w:tcPr>
            <w:tcW w:w="2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r w:rsidR="00CD10EB" w:rsidRPr="00F563AB">
        <w:trPr>
          <w:trHeight w:val="200"/>
        </w:trPr>
        <w:tc>
          <w:tcPr>
            <w:tcW w:w="5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Гiйом Кутюр</w:t>
            </w:r>
          </w:p>
        </w:tc>
        <w:tc>
          <w:tcPr>
            <w:tcW w:w="2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r w:rsidR="00CD10EB" w:rsidRPr="00F563AB">
        <w:trPr>
          <w:trHeight w:val="200"/>
        </w:trPr>
        <w:tc>
          <w:tcPr>
            <w:tcW w:w="5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Стефан Паяр</w:t>
            </w:r>
          </w:p>
        </w:tc>
        <w:tc>
          <w:tcPr>
            <w:tcW w:w="2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1.</w:t>
            </w:r>
            <w:r w:rsidRPr="00F563AB">
              <w:rPr>
                <w:rFonts w:ascii="Times New Roman CYR" w:hAnsi="Times New Roman CYR" w:cs="Times New Roman CYR"/>
                <w:sz w:val="24"/>
                <w:szCs w:val="24"/>
              </w:rPr>
              <w:tab/>
              <w:t xml:space="preserve">Жан-Мiшель Суффле (Mr. Jean-Michel Soufflet), громадянин Францiї, паспорт 15CP56617, виданий 08.09.2015 року.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Кiлькiсть акцiй Товариства, що належать кандидату - 0.000004 %.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Освiта вища, Вищий Iнститут Торгiвлi,  спецiальнiсть Менеджмент, м. Париж, Францiя (Institut sup?rieur du commerce de Paris, 1981рiк випуску). Мiсце роботи та посади, якi займав кандидат протягом останнiх трьох рокiв в Товариствi - Голова Наглядової Ради Товариства. Кандидат займає посаду Генерального директора "Етаблiссман Суффле" (Ets J. Soufflet), Францiя. Кандидат вiдповiдає вимогам, якi передбаченi Положенням Про Наглядову Раду ПрАТ "СЛАВУТСЬКИЙ СОЛОДОВИЙ ЗАВОД" та законодавством України про акцiонернi Товариства.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2.</w:t>
            </w:r>
            <w:r w:rsidRPr="00F563AB">
              <w:rPr>
                <w:rFonts w:ascii="Times New Roman CYR" w:hAnsi="Times New Roman CYR" w:cs="Times New Roman CYR"/>
                <w:sz w:val="24"/>
                <w:szCs w:val="24"/>
              </w:rPr>
              <w:tab/>
              <w:t xml:space="preserve">Стефан Паяр (St?phane PAILLARD), громадянин Францiї, паспорт 10CP87509, виданий 20.09.2010 року.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Як представник акцiонера - "МIЖНАРОДНА КОМПАНIЯ СОЛОДОВЕНЬ".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Кандидат не володiє акцiями Товариства. Освiта вища: Магiстр  у Школа Бiзнесу ESCP ( м. Париж) у сферi фiнансування та податкового iнжинiрингу. Протягом останнiх трьох рокiв не займав посади в Товариствi. Протягом одного року та на сьогоднi займає посаду Головного юрисконсульта Групи Суффле. Попередньо працював в компанiї "Assystem". Кандидат вiдповiдає вимогам, якi передбаченi Положенням Про Наглядову Раду ПрАТ "СЛАВУТСЬКИЙ СОЛОДОВИЙ ЗАВОД" та законодавством України про акцiонернi Товариства.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3.   Пан Гiйом Кутюр (Guillaume COUTURE), громадянин Францiї, паспорт 13CZ98949 вiд 29.11.2013 р.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 xml:space="preserve"> Кандидат не володiє акцiями Товариства. Є представником акцiонера - Європейського банку Реконструкцiї та Розвитку, який володiє 24% акцiй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Освiта вища: Paris IX Dauphine, 1998 рiк випуску,  магiстр менеджменту; Ecole Centrale de Lyon, 1997 рiк випуску, магiстр iнженерiї.  Протягом останнiх трьох рокiв не займав посади в Товариствi. Протягом останнiх трьох рокiв займає посаду Комерцiйного Директора солодового департаменту Групи Суффле.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Кандидат вiдповiдає вимогам, якi передбаченi Положенням Про Наглядову Раду ПрАТ "СЛАВУТСЬКИЙ СОЛОДОВИЙ ЗАВОД" та законодавством України про акцiонернi Товариства.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Засiдання Наглядової ради вiдбуваються в середньому один раз на квартал, а за необхiдностi затвердження важливих рiшень щодо фiнансового забезпечення дiяльностi Товариства i частiше. Останнiми рiшеннями Наглядової ради були призначення компанiї КПМГ в якостi аудитора для затвердження рiчної звiтностi Товариства,затвердження умов кредитних договорiв з банками щодо фiнансування поточної дiяльностi Товариства, зокрема закупiвлi сировини, енергоносiїв тощо, затвердження змiн у персональному складi Дирекцiї.</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Персональний склад комітетів</w:t>
            </w: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Комiтети не утворювались</w:t>
            </w:r>
          </w:p>
        </w:tc>
        <w:tc>
          <w:tcPr>
            <w:tcW w:w="3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b/>
                <w:bCs/>
                <w:sz w:val="24"/>
                <w:szCs w:val="24"/>
              </w:rPr>
              <w:t>Функціональні обов'язки члена виконавчого органу</w:t>
            </w:r>
          </w:p>
        </w:tc>
      </w:tr>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Склад Дирекцiї товариства :  Дубiна М.I., Бiлий Р.М., Арещенков С.В., Нiкiтiн К., Пасселанд К.</w:t>
            </w:r>
          </w:p>
        </w:tc>
        <w:tc>
          <w:tcPr>
            <w:tcW w:w="7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Бiлий Роман Миколайович - Директор з адмiнiстрацiї, систем безпеки та якостi, вiдповiдає за кадрову полiтику, систему </w:t>
            </w:r>
            <w:r w:rsidRPr="00F563AB">
              <w:rPr>
                <w:rFonts w:ascii="Times New Roman CYR" w:hAnsi="Times New Roman CYR" w:cs="Times New Roman CYR"/>
                <w:sz w:val="24"/>
                <w:szCs w:val="24"/>
              </w:rPr>
              <w:lastRenderedPageBreak/>
              <w:t xml:space="preserve">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документiв не має.</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Пасселанд Крiстоф - Директор 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D10EB" w:rsidRPr="00F563AB">
        <w:trPr>
          <w:trHeight w:val="200"/>
        </w:trPr>
        <w:tc>
          <w:tcPr>
            <w:tcW w:w="3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Не належить до компетенції жодного органу</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488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3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CD10EB" w:rsidRPr="00F563AB">
        <w:trPr>
          <w:trHeight w:val="182"/>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Інформація розміщується на власному веб-сайті акціонерного товариства</w:t>
            </w:r>
          </w:p>
        </w:tc>
      </w:tr>
      <w:tr w:rsidR="00CD10EB" w:rsidRPr="00F563AB">
        <w:trPr>
          <w:trHeight w:val="182"/>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r>
      <w:tr w:rsidR="00CD10EB" w:rsidRPr="00F563AB">
        <w:trPr>
          <w:trHeight w:val="182"/>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r>
      <w:tr w:rsidR="00CD10EB" w:rsidRPr="00F563AB">
        <w:trPr>
          <w:trHeight w:val="182"/>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r>
      <w:tr w:rsidR="00CD10EB" w:rsidRPr="00F563AB">
        <w:trPr>
          <w:trHeight w:val="182"/>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r>
      <w:tr w:rsidR="00CD10EB" w:rsidRPr="00F563AB">
        <w:trPr>
          <w:trHeight w:val="182"/>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Ні</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7000" w:type="dxa"/>
            <w:gridSpan w:val="2"/>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X</w:t>
            </w:r>
          </w:p>
        </w:tc>
      </w:tr>
      <w:tr w:rsidR="00CD10EB" w:rsidRPr="00F563AB">
        <w:trPr>
          <w:trHeight w:val="200"/>
        </w:trPr>
        <w:tc>
          <w:tcPr>
            <w:tcW w:w="25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CD10EB" w:rsidRPr="00F563AB">
        <w:trPr>
          <w:trHeight w:val="200"/>
        </w:trPr>
        <w:tc>
          <w:tcPr>
            <w:tcW w:w="892"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CD10EB" w:rsidRPr="00F563AB">
        <w:trPr>
          <w:trHeight w:val="200"/>
        </w:trPr>
        <w:tc>
          <w:tcPr>
            <w:tcW w:w="892"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COMPAGNIE INTERNATIONAL DE MALTERIES (Мiжнародна компанiя солодовень)</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419 345 228</w:t>
            </w:r>
          </w:p>
        </w:tc>
        <w:tc>
          <w:tcPr>
            <w:tcW w:w="2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72.61</w:t>
            </w:r>
          </w:p>
        </w:tc>
      </w:tr>
      <w:tr w:rsidR="00CD10EB" w:rsidRPr="00F563AB">
        <w:trPr>
          <w:trHeight w:val="200"/>
        </w:trPr>
        <w:tc>
          <w:tcPr>
            <w:tcW w:w="892"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European Bank for Reconstruction and Development (ЄБРР)</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24</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CD10E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CD10EB" w:rsidRPr="00F563AB">
        <w:trPr>
          <w:trHeight w:val="200"/>
        </w:trPr>
        <w:tc>
          <w:tcPr>
            <w:tcW w:w="1892"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Дата виникнення обмеження</w:t>
            </w:r>
          </w:p>
        </w:tc>
      </w:tr>
      <w:tr w:rsidR="00CD10EB" w:rsidRPr="00F563AB">
        <w:trPr>
          <w:trHeight w:val="200"/>
        </w:trPr>
        <w:tc>
          <w:tcPr>
            <w:tcW w:w="1892"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24 705 920</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1892"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обирається загальними зборами акцiонерiв термiном на 3 роки, а члени Дирекцiї призначаються рiшенням Наглядової ради на термiн, визначений Наглядовою радою. Припинення повноважень членiв Дирекцiї затверджується Наглядовою радою. Винагороди та компенсацiї внутрiшнiми положеннями не передбаченi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Дубiна Микола Iванович - Генеральний директор, здiйснює загальне керiвництво пiдприємством, веде стратегiчне планування та звiтнiсть, розподiляє обов'язки мiж членами дирекцiї та керiвниками структурних пiдроздiлiв, персонально керує вiддiлом продажiв та закупками сировини, дiє згiдно Статуту;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Бiлий Роман Миколайович - Директор з адмiнiстрацiї, систем безпеки та якостi, вiдповiдає за кадрову полiтику, систему охорони працi, сертифiкацiю згiдно систем ISO з якостi, харчової безпеки, навколишнього середовища та енергоефективностi та їх пiдтримку. Дiє згiдно генерального доручення;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Арещенков Сергiй Володимирович - Директор технiчний, керує технiчними службами та допомiжними пiдроздiлами, впроваджує iнвестицiйнi проекти по модернiзацiї та пiдвищенню ефективностi виробництва. Дiє згiдно наказу генерального директора про право пiдпису.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Нiкiтiн Константiн - Директор з проектiв, контролює виконання iнвестпроектiв, узгоджує їх на рiвнi головного офiсу, планує майбутнi iнвестицiйнi проекти. Права пiдпису локальних документiв не має.</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Пасселанд Крiстоф - Директор фiнансовий. Здiйснює контроль фiнансових потокiв, погоджує фiнансування iнвестицiйних проектiв на рiвнi головного офiсу. Права пiдпису локальних документiв не має.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даних п.п.5-9 звiту: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отримана на дату цього звiту аудиторiв, є iнформацiєю, яка мiститься у Звiтi про управлiння, але не є фiнансовою звiтнiстю та нашим звiтом аудиторiв щодо неї.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невiдповiдность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стосовно iншої iнформацiї, отриманої до дати цього звiту аудиторiв, ми доходимо висновку, що iснує суттєве викривлення цiєї iншої iнформацiї, ми зобов'язанi повiдомити про цей факт.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Ми не виявили таких фактiв, якi потрiбно було б включити до звiту.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CD10EB" w:rsidRPr="00F563AB">
        <w:trPr>
          <w:trHeight w:val="200"/>
        </w:trPr>
        <w:tc>
          <w:tcPr>
            <w:tcW w:w="3300"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Кількість за видами акцій</w:t>
            </w:r>
          </w:p>
        </w:tc>
      </w:tr>
      <w:tr w:rsidR="00CD10EB" w:rsidRPr="00F563AB">
        <w:trPr>
          <w:trHeight w:val="200"/>
        </w:trPr>
        <w:tc>
          <w:tcPr>
            <w:tcW w:w="3300"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b/>
                <w:bCs/>
              </w:rPr>
              <w:t>Привілейовані іменні</w:t>
            </w:r>
          </w:p>
        </w:tc>
      </w:tr>
      <w:tr w:rsidR="00CD10EB" w:rsidRPr="00F563AB">
        <w:trPr>
          <w:trHeight w:val="200"/>
        </w:trPr>
        <w:tc>
          <w:tcPr>
            <w:tcW w:w="33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АТ "Мiжнародна Компанiя Солодовень" (JSC "Compagnie Internationale De Malteries"), реєстрацiйний код 419345228</w:t>
            </w:r>
          </w:p>
        </w:tc>
        <w:tc>
          <w:tcPr>
            <w:tcW w:w="1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419345228</w:t>
            </w:r>
          </w:p>
        </w:tc>
        <w:tc>
          <w:tcPr>
            <w:tcW w:w="2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1040,, Францiя, р-н,  Ножан сюр Сен,, Набережна генерала Саррай -В.</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17 938 289</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72.61</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17 938 289</w:t>
            </w:r>
          </w:p>
        </w:tc>
        <w:tc>
          <w:tcPr>
            <w:tcW w:w="212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3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Європейський банк реконструкцiї i розвитку (European Bank for Reconstruction and Development), реєстрацiйний номер невiдомий</w:t>
            </w:r>
          </w:p>
        </w:tc>
        <w:tc>
          <w:tcPr>
            <w:tcW w:w="1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BN</w:t>
            </w:r>
          </w:p>
        </w:tc>
        <w:tc>
          <w:tcPr>
            <w:tcW w:w="2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Великобританiя, р-н, Лондон,, One Exchange Square,EC2A 2JN</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5 929 420</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5 929 420</w:t>
            </w:r>
          </w:p>
        </w:tc>
        <w:tc>
          <w:tcPr>
            <w:tcW w:w="212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Кількість за типами акцій</w:t>
            </w:r>
          </w:p>
        </w:tc>
      </w:tr>
      <w:tr w:rsidR="00CD10EB" w:rsidRPr="00F563AB">
        <w:trPr>
          <w:trHeight w:val="200"/>
        </w:trPr>
        <w:tc>
          <w:tcPr>
            <w:tcW w:w="7000" w:type="dxa"/>
            <w:gridSpan w:val="3"/>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b/>
                <w:bCs/>
              </w:rPr>
              <w:t>Привілейовані іменні</w:t>
            </w:r>
          </w:p>
        </w:tc>
      </w:tr>
      <w:tr w:rsidR="00CD10EB" w:rsidRPr="00F563AB">
        <w:trPr>
          <w:trHeight w:val="200"/>
        </w:trPr>
        <w:tc>
          <w:tcPr>
            <w:tcW w:w="7000" w:type="dxa"/>
            <w:gridSpan w:val="3"/>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7000" w:type="dxa"/>
            <w:gridSpan w:val="3"/>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23 867 709</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96.61</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23 867 709</w:t>
            </w:r>
          </w:p>
        </w:tc>
        <w:tc>
          <w:tcPr>
            <w:tcW w:w="212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CD10EB" w:rsidRPr="00F563AB">
        <w:trPr>
          <w:trHeight w:val="300"/>
        </w:trPr>
        <w:tc>
          <w:tcPr>
            <w:tcW w:w="2462"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F563AB">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CD10EB" w:rsidRPr="00F563AB">
        <w:trPr>
          <w:trHeight w:val="300"/>
        </w:trPr>
        <w:tc>
          <w:tcPr>
            <w:tcW w:w="2462"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простi iменнi бездокументарнi</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24 705 920</w:t>
            </w:r>
          </w:p>
        </w:tc>
        <w:tc>
          <w:tcPr>
            <w:tcW w:w="2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0"/>
                <w:szCs w:val="20"/>
              </w:rPr>
            </w:pPr>
            <w:r w:rsidRPr="00F563AB">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Кожною простою акцiєю Товариства акцiонеру надається однакова сукупнiсть прав, включаючи права на: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1.1</w:t>
            </w:r>
            <w:r w:rsidRPr="00F563AB">
              <w:rPr>
                <w:rFonts w:ascii="Times New Roman CYR" w:hAnsi="Times New Roman CYR" w:cs="Times New Roman CYR"/>
                <w:sz w:val="20"/>
                <w:szCs w:val="20"/>
              </w:rPr>
              <w:tab/>
              <w:t xml:space="preserve"> участь в управлiннi Товариством;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1.2</w:t>
            </w:r>
            <w:r w:rsidRPr="00F563AB">
              <w:rPr>
                <w:rFonts w:ascii="Times New Roman CYR" w:hAnsi="Times New Roman CYR" w:cs="Times New Roman CYR"/>
                <w:sz w:val="20"/>
                <w:szCs w:val="20"/>
              </w:rPr>
              <w:tab/>
              <w:t xml:space="preserve">отримання дивiдендiв;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1.3</w:t>
            </w:r>
            <w:r w:rsidRPr="00F563AB">
              <w:rPr>
                <w:rFonts w:ascii="Times New Roman CYR" w:hAnsi="Times New Roman CYR" w:cs="Times New Roman CYR"/>
                <w:sz w:val="20"/>
                <w:szCs w:val="20"/>
              </w:rPr>
              <w:tab/>
              <w:t xml:space="preserve">отримання у разi лiквiдацiї товариства частини його майна або вартостi частини майна товариства;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1.4</w:t>
            </w:r>
            <w:r w:rsidRPr="00F563AB">
              <w:rPr>
                <w:rFonts w:ascii="Times New Roman CYR" w:hAnsi="Times New Roman CYR" w:cs="Times New Roman CYR"/>
                <w:sz w:val="20"/>
                <w:szCs w:val="20"/>
              </w:rPr>
              <w:tab/>
              <w:t xml:space="preserve">отримання iнформацiї про господарську дiяльнiсть Товариства.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 xml:space="preserve">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Акцiонери Товариства можуть мати й iншi права, передбаченi актами законодавства.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У акцiонерiв Товариства вiдсутнi переважнi права на акцiонерiв приватного Товариства на придбання акцiй Товариства. Якi пропонуються їх власником до продажу третiй особi.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2.</w:t>
            </w:r>
            <w:r w:rsidRPr="00F563AB">
              <w:rPr>
                <w:rFonts w:ascii="Times New Roman CYR" w:hAnsi="Times New Roman CYR" w:cs="Times New Roman CYR"/>
                <w:sz w:val="20"/>
                <w:szCs w:val="20"/>
              </w:rPr>
              <w:tab/>
              <w:t>Акцiонери зобов'язанi: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2.1</w:t>
            </w:r>
            <w:r w:rsidRPr="00F563AB">
              <w:rPr>
                <w:rFonts w:ascii="Times New Roman CYR" w:hAnsi="Times New Roman CYR" w:cs="Times New Roman CYR"/>
                <w:sz w:val="20"/>
                <w:szCs w:val="20"/>
              </w:rPr>
              <w:tab/>
              <w:t>дотримуватися Статуту, iнших внутрiшнiх документiв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2.2</w:t>
            </w:r>
            <w:r w:rsidRPr="00F563AB">
              <w:rPr>
                <w:rFonts w:ascii="Times New Roman CYR" w:hAnsi="Times New Roman CYR" w:cs="Times New Roman CYR"/>
                <w:sz w:val="20"/>
                <w:szCs w:val="20"/>
              </w:rPr>
              <w:tab/>
              <w:t>виконувати рiшення Загальних зборiв, iнших органiв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2.3.  виконувати свої зобов'язання перед Товариством, у тому числi пов'язанi з майновою участю;</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2.4</w:t>
            </w:r>
            <w:r w:rsidRPr="00F563AB">
              <w:rPr>
                <w:rFonts w:ascii="Times New Roman CYR" w:hAnsi="Times New Roman CYR" w:cs="Times New Roman CYR"/>
                <w:sz w:val="20"/>
                <w:szCs w:val="20"/>
              </w:rPr>
              <w:tab/>
              <w:t>оплачувати акцiї у розмiрi, в порядку та засобами, що передбаченi Статутом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2.5</w:t>
            </w:r>
            <w:r w:rsidRPr="00F563AB">
              <w:rPr>
                <w:rFonts w:ascii="Times New Roman CYR" w:hAnsi="Times New Roman CYR" w:cs="Times New Roman CYR"/>
                <w:sz w:val="20"/>
                <w:szCs w:val="20"/>
              </w:rPr>
              <w:tab/>
              <w:t>не розголошувати комерцiйну таємницю та конфiденцiйну iнформацiю про дiяльнiсть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 xml:space="preserve">Акцiонери можуть також мати iншi обов'язки, встановленi чинним законодавством України.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0"/>
                <w:szCs w:val="20"/>
              </w:rPr>
            </w:pPr>
            <w:r w:rsidRPr="00F563AB">
              <w:rPr>
                <w:rFonts w:ascii="Times New Roman CYR" w:hAnsi="Times New Roman CYR" w:cs="Times New Roman CYR"/>
                <w:sz w:val="20"/>
                <w:szCs w:val="20"/>
              </w:rPr>
              <w:t>нi</w:t>
            </w:r>
          </w:p>
        </w:tc>
      </w:tr>
      <w:tr w:rsidR="00CD10EB" w:rsidRPr="00F563AB">
        <w:trPr>
          <w:trHeight w:val="300"/>
        </w:trPr>
        <w:tc>
          <w:tcPr>
            <w:tcW w:w="15083" w:type="dxa"/>
            <w:gridSpan w:val="5"/>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0"/>
                <w:szCs w:val="20"/>
              </w:rPr>
            </w:pPr>
            <w:r w:rsidRPr="00F563AB">
              <w:rPr>
                <w:rFonts w:ascii="Times New Roman CYR" w:hAnsi="Times New Roman CYR" w:cs="Times New Roman CYR"/>
                <w:b/>
                <w:bCs/>
                <w:sz w:val="20"/>
                <w:szCs w:val="20"/>
              </w:rPr>
              <w:t>Примітки:</w:t>
            </w:r>
          </w:p>
        </w:tc>
      </w:tr>
      <w:tr w:rsidR="00CD10EB" w:rsidRPr="00F563AB">
        <w:trPr>
          <w:trHeight w:val="300"/>
        </w:trPr>
        <w:tc>
          <w:tcPr>
            <w:tcW w:w="15083" w:type="dxa"/>
            <w:gridSpan w:val="5"/>
            <w:tcBorders>
              <w:top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0"/>
          <w:szCs w:val="20"/>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rPr>
          <w:rFonts w:ascii="Times New Roman CYR" w:hAnsi="Times New Roman CYR" w:cs="Times New Roman CYR"/>
          <w:sz w:val="20"/>
          <w:szCs w:val="20"/>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CD10EB" w:rsidRPr="00F563AB">
        <w:trPr>
          <w:trHeight w:val="200"/>
        </w:trPr>
        <w:tc>
          <w:tcPr>
            <w:tcW w:w="12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Частка у статутному капіталі (у відсотках)</w:t>
            </w:r>
          </w:p>
        </w:tc>
      </w:tr>
      <w:tr w:rsidR="00CD10EB" w:rsidRPr="00F563AB">
        <w:trPr>
          <w:trHeight w:val="200"/>
        </w:trPr>
        <w:tc>
          <w:tcPr>
            <w:tcW w:w="12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w:t>
            </w:r>
          </w:p>
        </w:tc>
      </w:tr>
      <w:tr w:rsidR="00CD10EB" w:rsidRPr="00F563AB">
        <w:trPr>
          <w:trHeight w:val="200"/>
        </w:trPr>
        <w:tc>
          <w:tcPr>
            <w:tcW w:w="12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27.05.2010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16/22/1/10</w:t>
            </w:r>
          </w:p>
        </w:tc>
        <w:tc>
          <w:tcPr>
            <w:tcW w:w="2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UA4000071575</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24 705 920</w:t>
            </w:r>
          </w:p>
        </w:tc>
        <w:tc>
          <w:tcPr>
            <w:tcW w:w="1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6 176 480</w:t>
            </w:r>
          </w:p>
        </w:tc>
        <w:tc>
          <w:tcPr>
            <w:tcW w:w="14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w:t>
            </w:r>
          </w:p>
        </w:tc>
      </w:tr>
      <w:tr w:rsidR="00CD10EB" w:rsidRPr="00F563AB">
        <w:trPr>
          <w:trHeight w:val="200"/>
        </w:trPr>
        <w:tc>
          <w:tcPr>
            <w:tcW w:w="12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Акцiї знаходяться у позабiржовому списку  на бiржi ПФТС (тiкер акцiй - SSOL) та на Українськiй бiржi ( тiкер акцiй - SSOL).  </w:t>
            </w:r>
          </w:p>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Додаткова емiсiя не проводилась та не планується.</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CD10EB" w:rsidRPr="00F563AB">
        <w:trPr>
          <w:trHeight w:val="200"/>
        </w:trPr>
        <w:tc>
          <w:tcPr>
            <w:tcW w:w="4000" w:type="dxa"/>
            <w:gridSpan w:val="2"/>
            <w:vMerge w:val="restart"/>
            <w:tcBorders>
              <w:top w:val="single" w:sz="6" w:space="0" w:color="auto"/>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У звітному періоді</w:t>
            </w:r>
          </w:p>
        </w:tc>
      </w:tr>
      <w:tr w:rsidR="00CD10EB" w:rsidRPr="00F563AB">
        <w:trPr>
          <w:trHeight w:val="200"/>
        </w:trPr>
        <w:tc>
          <w:tcPr>
            <w:tcW w:w="4000" w:type="dxa"/>
            <w:gridSpan w:val="2"/>
            <w:vMerge/>
            <w:tcBorders>
              <w:top w:val="nil"/>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 привілейованими акціями</w:t>
            </w: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2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Дивiденди у 2019 роцi не виплачувались</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CD10EB" w:rsidRPr="00F563AB">
        <w:trPr>
          <w:trHeight w:val="200"/>
        </w:trPr>
        <w:tc>
          <w:tcPr>
            <w:tcW w:w="3058" w:type="dxa"/>
            <w:vMerge w:val="restart"/>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Основні засоби, усього (тис. грн)</w:t>
            </w:r>
          </w:p>
        </w:tc>
      </w:tr>
      <w:tr w:rsidR="00CD10EB" w:rsidRPr="00F563AB">
        <w:trPr>
          <w:trHeight w:val="200"/>
        </w:trPr>
        <w:tc>
          <w:tcPr>
            <w:tcW w:w="3058" w:type="dxa"/>
            <w:vMerge/>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кінець періоду</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176 048</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181 540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5 986</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176 048</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187 526</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102 801</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105 582</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102 801</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105 582</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70 102</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73 288</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70 102</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73 288</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1 278</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823</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1 278</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823</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774</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774</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774</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774</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1 093</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1 073</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5 986</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1 093</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7 059</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121</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99</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121</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99</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99</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120</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99</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176 169</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181 639</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5 986</w:t>
            </w:r>
          </w:p>
        </w:tc>
        <w:tc>
          <w:tcPr>
            <w:tcW w:w="12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176 169</w:t>
            </w:r>
          </w:p>
        </w:tc>
        <w:tc>
          <w:tcPr>
            <w:tcW w:w="1082"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187 625</w:t>
            </w:r>
          </w:p>
        </w:tc>
      </w:tr>
      <w:tr w:rsidR="00CD10EB" w:rsidRPr="00F563AB">
        <w:trPr>
          <w:trHeight w:val="200"/>
        </w:trPr>
        <w:tc>
          <w:tcPr>
            <w:tcW w:w="3058"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Довiдково: ступiнь зносу основних фондiв  станом на 31.12.2019- 49,0%</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За попередній період</w:t>
            </w: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511 266</w:t>
            </w:r>
          </w:p>
        </w:tc>
        <w:tc>
          <w:tcPr>
            <w:tcW w:w="3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441 240</w:t>
            </w: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c>
          <w:tcPr>
            <w:tcW w:w="3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r>
      <w:tr w:rsidR="00CD10EB" w:rsidRPr="00F563AB">
        <w:trPr>
          <w:trHeight w:val="200"/>
        </w:trPr>
        <w:tc>
          <w:tcPr>
            <w:tcW w:w="4000" w:type="dxa"/>
            <w:gridSpan w:val="2"/>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c>
          <w:tcPr>
            <w:tcW w:w="3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r>
      <w:tr w:rsidR="00CD10EB" w:rsidRPr="00F563AB">
        <w:trPr>
          <w:trHeight w:val="200"/>
        </w:trPr>
        <w:tc>
          <w:tcPr>
            <w:tcW w:w="126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w:t>
            </w:r>
          </w:p>
        </w:tc>
      </w:tr>
      <w:tr w:rsidR="00CD10EB" w:rsidRPr="00F563AB">
        <w:trPr>
          <w:trHeight w:val="200"/>
        </w:trPr>
        <w:tc>
          <w:tcPr>
            <w:tcW w:w="126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Розрахункова вартiсть чистих активiв перевищує статутний капiтал на 505090 тис.грн. Розрахункова вартiсть чистих активiв перевищує скоригований статутний капiтал на 505090 тис.грн. Вимоги частини третьої статтi 155 Цивiльного кодексу України дотриманi. Зменшення статутного капiталу не вимагається.</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CD10EB" w:rsidRPr="00F563AB">
        <w:trPr>
          <w:trHeight w:val="2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Дата погашення</w:t>
            </w:r>
          </w:p>
        </w:tc>
      </w:tr>
      <w:tr w:rsidR="00CD10EB" w:rsidRPr="00F563AB">
        <w:trPr>
          <w:trHeight w:val="2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377 842</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2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378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фiнансовий короткостроковий кредит</w:t>
            </w:r>
          </w:p>
        </w:tc>
        <w:tc>
          <w:tcPr>
            <w:tcW w:w="144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01.01.2019</w:t>
            </w:r>
          </w:p>
        </w:tc>
        <w:tc>
          <w:tcPr>
            <w:tcW w:w="148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377 842</w:t>
            </w:r>
          </w:p>
        </w:tc>
        <w:tc>
          <w:tcPr>
            <w:tcW w:w="194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1780</w:t>
            </w:r>
          </w:p>
        </w:tc>
        <w:tc>
          <w:tcPr>
            <w:tcW w:w="1328"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22.10.2020</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6 121</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46 491</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430 454</w:t>
            </w:r>
          </w:p>
        </w:tc>
        <w:tc>
          <w:tcPr>
            <w:tcW w:w="194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300"/>
        </w:trPr>
        <w:tc>
          <w:tcPr>
            <w:tcW w:w="378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д/в</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CD10EB" w:rsidRPr="00F563AB">
        <w:trPr>
          <w:trHeight w:val="200"/>
        </w:trPr>
        <w:tc>
          <w:tcPr>
            <w:tcW w:w="600" w:type="dxa"/>
            <w:vMerge w:val="restart"/>
            <w:tcBorders>
              <w:top w:val="single" w:sz="6" w:space="0" w:color="auto"/>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Обсяг реалізованої продукції</w:t>
            </w:r>
          </w:p>
        </w:tc>
      </w:tr>
      <w:tr w:rsidR="00CD10EB" w:rsidRPr="00F563AB">
        <w:trPr>
          <w:trHeight w:val="200"/>
        </w:trPr>
        <w:tc>
          <w:tcPr>
            <w:tcW w:w="600" w:type="dxa"/>
            <w:vMerge/>
            <w:tcBorders>
              <w:top w:val="nil"/>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b/>
                <w:bCs/>
              </w:rPr>
              <w:t>у відсотках до всієї реалізованої продукції</w:t>
            </w:r>
          </w:p>
        </w:tc>
      </w:tr>
      <w:tr w:rsidR="00CD10EB" w:rsidRPr="00F563A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r>
      <w:tr w:rsidR="00CD10EB" w:rsidRPr="00F563AB">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Солод пивоварний</w:t>
            </w:r>
          </w:p>
        </w:tc>
        <w:tc>
          <w:tcPr>
            <w:tcW w:w="218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150 072 тонн</w:t>
            </w:r>
          </w:p>
        </w:tc>
        <w:tc>
          <w:tcPr>
            <w:tcW w:w="218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1605525.5</w:t>
            </w:r>
          </w:p>
        </w:tc>
        <w:tc>
          <w:tcPr>
            <w:tcW w:w="219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w:t>
            </w:r>
          </w:p>
        </w:tc>
        <w:tc>
          <w:tcPr>
            <w:tcW w:w="218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138 332,1 тонн</w:t>
            </w:r>
          </w:p>
        </w:tc>
        <w:tc>
          <w:tcPr>
            <w:tcW w:w="218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1617373.7</w:t>
            </w:r>
          </w:p>
        </w:tc>
        <w:tc>
          <w:tcPr>
            <w:tcW w:w="219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88</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CD10EB" w:rsidRPr="00F563AB">
        <w:trPr>
          <w:trHeight w:val="300"/>
        </w:trPr>
        <w:tc>
          <w:tcPr>
            <w:tcW w:w="6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Відсоток від загальної собівартості реалізованої продукції (у відсотках)</w:t>
            </w:r>
          </w:p>
        </w:tc>
      </w:tr>
      <w:tr w:rsidR="00CD10EB" w:rsidRPr="00F563AB">
        <w:trPr>
          <w:trHeight w:val="300"/>
        </w:trPr>
        <w:tc>
          <w:tcPr>
            <w:tcW w:w="62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r>
      <w:tr w:rsidR="00CD10EB" w:rsidRPr="00F563AB">
        <w:trPr>
          <w:trHeight w:val="300"/>
        </w:trPr>
        <w:tc>
          <w:tcPr>
            <w:tcW w:w="62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96</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Товариство з обмеженою вiдповiдальнiстю "Фондова компанiя "ЦЕНТР-IНВЕСТ"</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Товариство з обмеженою відповідальністю</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21653380</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29000, Україна, Хмельницька обл., . р-н, м. Хмельницький, вул. Володимирська 109</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АВ № 390863</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Державна комiсiя з цiнних паперiв та фондового ринку</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21.01.2010</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0382-702164</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0382-699588</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Юридична особа, яка здiйснює професiйну депозитарну дiяльнiсть зберiгача цiнних паперiв.</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Здiйснює професiйну депозитарну дiяльнiсть зберiгача цiнних паперiв</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ПрАТ "КПМГ Аудит"</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Приватне акціонерне товариство</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31032100</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01010, Україна, р-н, м.Київ, вул. Московська,32/2,17-ий поверх</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Свiдоцтво №2397</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Аудиторська палата Україна</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26.01.2001</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044-4905507</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044-4905508</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Аудитор (аудиторськa фiрмa), якa надає аудиторськi послуги емiтенту</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 xml:space="preserve">Здiйснює пiдтвердження достовiрностi фiнансової звiтностi емiтента </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Публiчне акцiонерне товариство "Нацiональний депозитарiй України"</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Публічне акціонерне товариство</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30370711</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01001, Україна, . р-н, м. Київ, вул. Б. Грiнченка, 3</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АВ №581322</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Державна комiсiя з цiнних паперiв та фондового ринку</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22.05.2011</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044-377-70-16</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044-279-12-49</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Юридична особа, яка здiйснює професiйну депозитарну дiяльнiсть депозитарiю iменних цiнних паперiв</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Здiйснює професiйну депозитарну дiяльнiсть депозитарiю iменних цiнних паперiв</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 "Юридична фiрма "ОПТИМА"</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Товариство з обмеженою відповідальністю</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36184752</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01001, Україна, м.Київ, провул. Музейний,10 к.305</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Свiдоцтво А01 №26580</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Печерська РДА</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13.10.2008</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067 447 56 79</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Дiяльнiсть у сферi права</w:t>
            </w:r>
          </w:p>
        </w:tc>
      </w:tr>
      <w:tr w:rsidR="00CD10EB" w:rsidRPr="00F563AB">
        <w:trPr>
          <w:trHeight w:val="200"/>
        </w:trPr>
        <w:tc>
          <w:tcPr>
            <w:tcW w:w="60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both"/>
              <w:rPr>
                <w:rFonts w:ascii="Times New Roman CYR" w:hAnsi="Times New Roman CYR" w:cs="Times New Roman CYR"/>
              </w:rPr>
            </w:pPr>
            <w:r w:rsidRPr="00F563AB">
              <w:rPr>
                <w:rFonts w:ascii="Times New Roman CYR" w:hAnsi="Times New Roman CYR" w:cs="Times New Roman CYR"/>
              </w:rPr>
              <w:t>Юридичнi послуги згiдно договору</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CD10EB" w:rsidRPr="00F563AB">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КОДИ</w:t>
            </w:r>
          </w:p>
        </w:tc>
      </w:tr>
      <w:tr w:rsidR="00CD10EB" w:rsidRPr="00F563AB">
        <w:trPr>
          <w:gridBefore w:val="2"/>
          <w:wBefore w:w="6626" w:type="dxa"/>
          <w:trHeight w:val="300"/>
        </w:trPr>
        <w:tc>
          <w:tcPr>
            <w:tcW w:w="1654"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31.12.2019</w:t>
            </w:r>
          </w:p>
        </w:tc>
      </w:tr>
      <w:tr w:rsidR="00CD10EB" w:rsidRPr="00F563AB">
        <w:trPr>
          <w:trHeight w:val="298"/>
        </w:trPr>
        <w:tc>
          <w:tcPr>
            <w:tcW w:w="216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Приватне акцiонерне товариство "СЛАВУТСЬКИЙ СОЛОДОВИЙ ЗАВОД"</w:t>
            </w:r>
          </w:p>
        </w:tc>
        <w:tc>
          <w:tcPr>
            <w:tcW w:w="1654"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00377733</w:t>
            </w:r>
          </w:p>
        </w:tc>
      </w:tr>
      <w:tr w:rsidR="00CD10EB" w:rsidRPr="00F563AB">
        <w:trPr>
          <w:trHeight w:val="298"/>
        </w:trPr>
        <w:tc>
          <w:tcPr>
            <w:tcW w:w="216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Хмельницька область, с.Крупець</w:t>
            </w:r>
          </w:p>
        </w:tc>
        <w:tc>
          <w:tcPr>
            <w:tcW w:w="1654"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6823984001</w:t>
            </w:r>
          </w:p>
        </w:tc>
      </w:tr>
      <w:tr w:rsidR="00CD10EB" w:rsidRPr="00F563AB">
        <w:trPr>
          <w:trHeight w:val="298"/>
        </w:trPr>
        <w:tc>
          <w:tcPr>
            <w:tcW w:w="216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230</w:t>
            </w:r>
          </w:p>
        </w:tc>
      </w:tr>
      <w:tr w:rsidR="00CD10EB" w:rsidRPr="00F563AB">
        <w:trPr>
          <w:trHeight w:val="298"/>
        </w:trPr>
        <w:tc>
          <w:tcPr>
            <w:tcW w:w="216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Виробництво солоду</w:t>
            </w:r>
          </w:p>
        </w:tc>
        <w:tc>
          <w:tcPr>
            <w:tcW w:w="1654"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11.06</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94</w:t>
      </w:r>
    </w:p>
    <w:p w:rsidR="00CD10EB" w:rsidRDefault="00CD10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30068 с. Крупець, вул. Богдана Хмельницького, б 43, (03842) 7-06-91</w:t>
      </w:r>
    </w:p>
    <w:p w:rsidR="00CD10EB" w:rsidRDefault="00CD10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CD10EB" w:rsidRDefault="00CD10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CD10EB" w:rsidRPr="00F563AB">
        <w:trPr>
          <w:trHeight w:val="298"/>
        </w:trPr>
        <w:tc>
          <w:tcPr>
            <w:tcW w:w="5650" w:type="dxa"/>
            <w:vMerge w:val="restart"/>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98"/>
        </w:trPr>
        <w:tc>
          <w:tcPr>
            <w:tcW w:w="5650" w:type="dxa"/>
            <w:vMerge w:val="restart"/>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24"/>
        <w:gridCol w:w="776"/>
        <w:gridCol w:w="1200"/>
        <w:gridCol w:w="200"/>
        <w:gridCol w:w="1400"/>
        <w:gridCol w:w="1400"/>
      </w:tblGrid>
      <w:tr w:rsidR="00CD10EB" w:rsidRPr="00F563AB">
        <w:trPr>
          <w:gridBefore w:val="3"/>
          <w:wBefore w:w="7000" w:type="dxa"/>
          <w:trHeight w:val="280"/>
        </w:trPr>
        <w:tc>
          <w:tcPr>
            <w:tcW w:w="1600" w:type="dxa"/>
            <w:gridSpan w:val="2"/>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Код за ДКУД</w:t>
            </w:r>
          </w:p>
        </w:tc>
        <w:tc>
          <w:tcPr>
            <w:tcW w:w="14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1801001</w:t>
            </w:r>
          </w:p>
        </w:tc>
      </w:tr>
      <w:tr w:rsidR="00CD10EB" w:rsidRPr="00F563AB">
        <w:trPr>
          <w:trHeight w:val="3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дату переходу на МСФЗ</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513</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1 048</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192</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1 586</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1 749</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863</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( 1 073 )</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( 701 )</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( 671 )</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1005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3 245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879</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4 956</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176 169</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187 625</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121 836</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1011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333 825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367 951</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186 445</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1012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( 157 656 )</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( 180 326 )</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( 64 609 )</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1016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1017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1021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1022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1 344</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6 500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117</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1050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1 410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2 680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1 070</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1095</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182 685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198 736</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128 175</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564 345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512 730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232 374</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353 715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270 301</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147 116</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29 104</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21 013</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8 962</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1103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181 518</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221 408</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76 296</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1104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1125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220 355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186 310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182 501</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5 900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34 685</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24 447</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74 808</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26 821</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1136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11 393</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2 676</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899</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1166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1167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899</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1170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3 921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9 206</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469</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1180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1181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1182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1183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1184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1 257</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1195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869 383</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742 984</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468 772</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1300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1 052 068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941 720</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596 947</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24"/>
        <w:gridCol w:w="776"/>
        <w:gridCol w:w="1400"/>
        <w:gridCol w:w="1400"/>
        <w:gridCol w:w="1400"/>
      </w:tblGrid>
      <w:tr w:rsidR="00CD10EB" w:rsidRPr="00F563AB">
        <w:trPr>
          <w:trHeight w:val="529"/>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 дату переходу на МСФЗ</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5"/>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1400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1401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1405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1410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1411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1412</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1415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1 544</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1 544</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1 544</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1420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433 520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503 546</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105 878</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1425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1430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1435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441 240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511 266</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113 598</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1500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1505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4 734</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5 222</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598</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1510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1515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2 927</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63 290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1520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1521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1525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1526</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1530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1531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1532</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1533</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1534</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1535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1540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1545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4 734</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8 149</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63 888</w:t>
            </w:r>
          </w:p>
        </w:tc>
      </w:tr>
      <w:tr w:rsidR="00CD10EB" w:rsidRPr="00F563AB">
        <w:tblPrEx>
          <w:tblBorders>
            <w:top w:val="none" w:sz="0" w:space="0" w:color="auto"/>
            <w:left w:val="none" w:sz="0" w:space="0" w:color="auto"/>
            <w:bottom w:val="none" w:sz="0" w:space="0" w:color="auto"/>
            <w:right w:val="none" w:sz="0" w:space="0" w:color="auto"/>
          </w:tblBorders>
        </w:tblPrEx>
        <w:trPr>
          <w:trHeight w:val="200"/>
        </w:trPr>
        <w:tc>
          <w:tcPr>
            <w:tcW w:w="5024"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1600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518 463</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377 842</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388 039</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1605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1610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11 700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2 332</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6 037</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1615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67 676</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27 564</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21 657</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1620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36</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6 121</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171</w:t>
            </w:r>
          </w:p>
        </w:tc>
      </w:tr>
      <w:tr w:rsidR="00CD10EB" w:rsidRPr="00F563AB">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1621</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1625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62</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147</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88</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1630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576</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663</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245</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1635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585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2 867</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1640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63</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753</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1645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1650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1660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6 906</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4 738</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1 715</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1665</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1670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1690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746</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606 094</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422 305</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419 461</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blPrEx>
          <w:tblBorders>
            <w:bottom w:val="none" w:sz="0" w:space="0" w:color="auto"/>
          </w:tblBorders>
        </w:tblPrEx>
        <w:trPr>
          <w:trHeight w:val="200"/>
        </w:trPr>
        <w:tc>
          <w:tcPr>
            <w:tcW w:w="5024"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1800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1 052 068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941 720</w:t>
            </w:r>
          </w:p>
        </w:tc>
        <w:tc>
          <w:tcPr>
            <w:tcW w:w="140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596 947</w:t>
            </w:r>
          </w:p>
        </w:tc>
      </w:tr>
    </w:tbl>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 Усього зобов'язання i забезпечення, розрахованi як сума рядкiв 1595 i 1695, складають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430 454 тисячi гривень на 31 грудня 2019 року (2018: 610 828 тисяч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sectPr w:rsidR="00CD10EB">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CD10EB" w:rsidRPr="00F563AB">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КОДИ</w:t>
            </w:r>
          </w:p>
        </w:tc>
      </w:tr>
      <w:tr w:rsidR="00CD10EB" w:rsidRPr="00F563AB">
        <w:trPr>
          <w:gridBefore w:val="2"/>
          <w:wBefore w:w="6626" w:type="dxa"/>
          <w:trHeight w:val="300"/>
        </w:trPr>
        <w:tc>
          <w:tcPr>
            <w:tcW w:w="1654"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31.12.2019</w:t>
            </w:r>
          </w:p>
        </w:tc>
      </w:tr>
      <w:tr w:rsidR="00CD10EB" w:rsidRPr="00F563AB">
        <w:trPr>
          <w:trHeight w:val="298"/>
        </w:trPr>
        <w:tc>
          <w:tcPr>
            <w:tcW w:w="216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Приватне акцiонерне товариство "СЛАВУТСЬКИЙ СОЛОДОВИЙ ЗАВОД"</w:t>
            </w:r>
          </w:p>
        </w:tc>
        <w:tc>
          <w:tcPr>
            <w:tcW w:w="1654"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b/>
                <w:bCs/>
              </w:rPr>
            </w:pPr>
            <w:r w:rsidRPr="00F563AB">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00377733</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CD10EB" w:rsidRPr="00F563AB">
        <w:trPr>
          <w:gridBefore w:val="3"/>
          <w:wBefore w:w="7150" w:type="dxa"/>
          <w:trHeight w:val="280"/>
        </w:trPr>
        <w:tc>
          <w:tcPr>
            <w:tcW w:w="1501" w:type="dxa"/>
            <w:gridSpan w:val="2"/>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1801003</w:t>
            </w:r>
          </w:p>
        </w:tc>
      </w:tr>
      <w:tr w:rsidR="00CD10EB" w:rsidRPr="00F563AB">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аналогічний період попереднього року</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1 843 713</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1 646 862</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( 1 510 204 )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( 1 330 174 )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Валовий:</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333 509</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316 688</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5 534</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10 159</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( 23 878 )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( 21 114 )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( 132 836 )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( 111 158 )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( 6 064 )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( 4 640 )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Фінансовий результат від операційної діяльності:</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176 265</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189 935</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1 982</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5 962</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202</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( 88 373 )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( 63 972 )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( 172 )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( 550 )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Фінансовий результат до оподаткування:</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89 772</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131 577</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-19 621</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-23 897</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Чистий фінансовий результат:</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70 151</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107 680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bl>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D10EB" w:rsidRPr="00F563AB">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аналогічний період попереднього року</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-125</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-210</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-125</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-125</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-210</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70 026</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107 470</w:t>
            </w:r>
          </w:p>
        </w:tc>
      </w:tr>
    </w:tbl>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D10EB" w:rsidRPr="00F563AB">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аналогічний період попереднього року</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1 292 267</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1 153 089</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23 079</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20 492</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4 456</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3 999</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23 186</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16 262</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170 075</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146 158</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1 513 063</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1 340 000</w:t>
            </w:r>
          </w:p>
        </w:tc>
      </w:tr>
    </w:tbl>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D10EB" w:rsidRPr="00F563AB">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аналогічний період попереднього року</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24 705 920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24 705 920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24 705 920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24 705 920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2.840000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4.360000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2.840000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4.360000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3.65</w:t>
            </w:r>
          </w:p>
        </w:tc>
      </w:tr>
    </w:tbl>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 Iнший сукупний збиток у 2019 роцi включає в себе визнаний актуарний збиток у сумi 125  тисяч гривень (2018: 210 тисяч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Iнший сукупний збиток у 2019 та 2018 р. представлений статтями, якi нiколи не будуть перенесенi до прибутку або збитку.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***Роздiл III "Елементи операцiйних витрат" звiту про прибутки та збитки розкриває iнформацiю про операцiйнi витрати, понесенi Товариством за рiк, включаючи витрати, що були включенi у собiвартiсть готової продукцiї та незавершеного виробництва станом на 31 грудня 2019 року, та виключаючи собiвартiсть реалiзованих товарiв. Розкриття даної iнформацiї передбачено Наказом Мiнiстерства фiнансiв України № 73 вiд 7 лютого 2013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sectPr w:rsidR="00CD10EB">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CD10EB" w:rsidRPr="00F563AB">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КОДИ</w:t>
            </w:r>
          </w:p>
        </w:tc>
      </w:tr>
      <w:tr w:rsidR="00CD10EB" w:rsidRPr="00F563AB">
        <w:trPr>
          <w:gridBefore w:val="2"/>
          <w:wBefore w:w="6650" w:type="dxa"/>
          <w:trHeight w:val="200"/>
        </w:trPr>
        <w:tc>
          <w:tcPr>
            <w:tcW w:w="1990"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31.12.2019</w:t>
            </w:r>
          </w:p>
        </w:tc>
      </w:tr>
      <w:tr w:rsidR="00CD10EB" w:rsidRPr="00F563AB">
        <w:tc>
          <w:tcPr>
            <w:tcW w:w="216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Приватне акцiонерне товариство "СЛАВУТСЬКИЙ СОЛОДОВИЙ ЗАВОД"</w:t>
            </w:r>
          </w:p>
        </w:tc>
        <w:tc>
          <w:tcPr>
            <w:tcW w:w="1990"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00377733</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CD10EB" w:rsidRPr="00F563AB">
        <w:trPr>
          <w:gridBefore w:val="3"/>
          <w:wBefore w:w="7500" w:type="dxa"/>
          <w:trHeight w:val="280"/>
        </w:trPr>
        <w:tc>
          <w:tcPr>
            <w:tcW w:w="1500" w:type="dxa"/>
            <w:gridSpan w:val="2"/>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1801004</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аналогічний період попереднього року</w:t>
            </w:r>
          </w:p>
        </w:tc>
      </w:tr>
      <w:tr w:rsidR="00CD10EB" w:rsidRPr="00F563AB">
        <w:trPr>
          <w:trHeight w:val="200"/>
        </w:trPr>
        <w:tc>
          <w:tcPr>
            <w:tcW w:w="5850" w:type="dxa"/>
            <w:tcBorders>
              <w:top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I. Рух коштів у результаті операційної діяльності</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2 131 669</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1 754 840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69 500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23 998</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69 500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23 996</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352</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301</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59 377</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113 392</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8 921</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667</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71</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1 167</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1 378</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518</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775</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( 1 551 456 )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( 1 479 214 )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( 18 278 )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( 16 394 )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( 4 336 )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( 3 958 )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( 25 415 )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( 87 906 )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( 13 194 )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( 34 219 )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( 6 343 )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( 47 957 )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( 5 878 )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( 5 730 )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( 409 704 )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( 222 531 )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( 315 )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( 44 )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( 83 811 )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( 57 650 )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178 272</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27 688</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II. Рух коштів у результаті інвестиційної діяльності</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( 26 829 )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( 30 565 )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-26 829</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-30 539</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III. Рух коштів у результаті фінансової діяльності</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884 345</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624 561</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( 1 030 260 )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( 532 570 )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( 581 )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( 90 113 )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( 4 957 )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( 0 )</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-151 453</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1 878</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-973</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1 013</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r>
      <w:tr w:rsidR="00CD10EB" w:rsidRPr="00F563AB">
        <w:trPr>
          <w:trHeight w:val="200"/>
        </w:trPr>
        <w:tc>
          <w:tcPr>
            <w:tcW w:w="58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w:t>
            </w:r>
          </w:p>
        </w:tc>
        <w:tc>
          <w:tcPr>
            <w:tcW w:w="1645"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w:t>
            </w:r>
          </w:p>
        </w:tc>
      </w:tr>
    </w:tbl>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 - Надходження вiд реалiзацiї продукцiї (товарiв робiт, послуг) вiд покупцiв i замовникiв включають кошти, що були отриманi по договорам факторингу без права регресу за 2019 рiк у сумi 39 489 тисяч гривень (2018 рiк: 39 855 тисяч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Iншi витрачання включають виплати вiдсоткiв по кредитах у сумi 83 277 тисяч гривень </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(2018 рiк: 57 413 тисяч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 Витрачання на оплату працi представленi виключаючи податки на доходи фiзичних осiб у сумi 4 204 тис. грн за рiк, що закiнчився 31 грудня 2019 року (2018 рiк: 4 061 тис. грн.) включенi до складу витрачань на оплату зобов'язань з iнших податкiв та зборiв.</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 Рух грошових коштiв вiд отриманих та погашених позик показано згорнуто окремо для кредитних лiнiй та кредитiв, якi вiдрiзняються швидким оборотом, значним розмiром задiяних сум i коротким термiном погашення.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sectPr w:rsidR="00CD10EB">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CD10EB" w:rsidRPr="00F563AB">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КОДИ</w:t>
            </w:r>
          </w:p>
        </w:tc>
      </w:tr>
      <w:tr w:rsidR="00CD10EB" w:rsidRPr="00F563AB">
        <w:trPr>
          <w:gridBefore w:val="2"/>
          <w:wBefore w:w="6650" w:type="dxa"/>
          <w:trHeight w:val="200"/>
        </w:trPr>
        <w:tc>
          <w:tcPr>
            <w:tcW w:w="1990"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01.01.2020</w:t>
            </w:r>
          </w:p>
        </w:tc>
      </w:tr>
      <w:tr w:rsidR="00CD10EB" w:rsidRPr="00F563AB">
        <w:tc>
          <w:tcPr>
            <w:tcW w:w="216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Приватне акцiонерне товариство "СЛАВУТСЬКИЙ СОЛОДОВИЙ ЗАВОД"</w:t>
            </w:r>
          </w:p>
        </w:tc>
        <w:tc>
          <w:tcPr>
            <w:tcW w:w="1990"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00377733</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CD10EB" w:rsidRPr="00F563AB">
        <w:trPr>
          <w:gridBefore w:val="5"/>
          <w:wBefore w:w="7500" w:type="dxa"/>
          <w:trHeight w:val="280"/>
        </w:trPr>
        <w:tc>
          <w:tcPr>
            <w:tcW w:w="1500" w:type="dxa"/>
            <w:gridSpan w:val="2"/>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1801006</w:t>
            </w:r>
          </w:p>
        </w:tc>
      </w:tr>
      <w:tr w:rsidR="00CD10EB" w:rsidRPr="00F563AB">
        <w:trPr>
          <w:trHeight w:val="200"/>
        </w:trPr>
        <w:tc>
          <w:tcPr>
            <w:tcW w:w="4000" w:type="dxa"/>
            <w:tcBorders>
              <w:top w:val="single" w:sz="6" w:space="0" w:color="auto"/>
              <w:bottom w:val="nil"/>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 аналогічний період попереднього року</w:t>
            </w:r>
          </w:p>
        </w:tc>
      </w:tr>
      <w:tr w:rsidR="00CD10EB" w:rsidRPr="00F563AB">
        <w:trPr>
          <w:trHeight w:val="200"/>
        </w:trPr>
        <w:tc>
          <w:tcPr>
            <w:tcW w:w="4000" w:type="dxa"/>
            <w:tcBorders>
              <w:top w:val="nil"/>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видаток</w:t>
            </w:r>
          </w:p>
        </w:tc>
      </w:tr>
      <w:tr w:rsidR="00CD10EB" w:rsidRPr="00F563AB">
        <w:trPr>
          <w:trHeight w:val="200"/>
        </w:trPr>
        <w:tc>
          <w:tcPr>
            <w:tcW w:w="4000" w:type="dxa"/>
            <w:tcBorders>
              <w:top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Коригування на: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Надходження від реалізації: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Надходження від отриманих: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придбання: фінансових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Надходження від: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Х</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400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bl>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 використовується</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CD10EB" w:rsidRDefault="00CD10EB">
      <w:pPr>
        <w:widowControl w:val="0"/>
        <w:autoSpaceDE w:val="0"/>
        <w:autoSpaceDN w:val="0"/>
        <w:adjustRightInd w:val="0"/>
        <w:spacing w:after="0" w:line="240" w:lineRule="auto"/>
        <w:jc w:val="both"/>
        <w:rPr>
          <w:rFonts w:ascii="Times New Roman CYR" w:hAnsi="Times New Roman CYR" w:cs="Times New Roman CYR"/>
        </w:rPr>
        <w:sectPr w:rsidR="00CD10EB">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CD10EB" w:rsidRPr="00F563AB">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КОДИ</w:t>
            </w:r>
          </w:p>
        </w:tc>
      </w:tr>
      <w:tr w:rsidR="00CD10EB" w:rsidRPr="00F563AB">
        <w:trPr>
          <w:gridBefore w:val="2"/>
          <w:wBefore w:w="7740" w:type="dxa"/>
          <w:trHeight w:val="298"/>
        </w:trPr>
        <w:tc>
          <w:tcPr>
            <w:tcW w:w="1800"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31.12.2019</w:t>
            </w:r>
          </w:p>
        </w:tc>
      </w:tr>
      <w:tr w:rsidR="00CD10EB" w:rsidRPr="00F563AB">
        <w:tc>
          <w:tcPr>
            <w:tcW w:w="2240" w:type="dxa"/>
            <w:tcBorders>
              <w:top w:val="nil"/>
              <w:left w:val="nil"/>
              <w:bottom w:val="nil"/>
              <w:right w:val="nil"/>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Приватне акцiонерне товариство "СЛАВУТСЬКИЙ СОЛОДОВИЙ ЗАВОД"</w:t>
            </w:r>
          </w:p>
        </w:tc>
        <w:tc>
          <w:tcPr>
            <w:tcW w:w="1800" w:type="dxa"/>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00377733</w:t>
            </w: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CD10EB" w:rsidRDefault="00CD10E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CD10EB" w:rsidRPr="00F563AB">
        <w:trPr>
          <w:gridBefore w:val="8"/>
          <w:wBefore w:w="11500" w:type="dxa"/>
          <w:trHeight w:val="280"/>
        </w:trPr>
        <w:tc>
          <w:tcPr>
            <w:tcW w:w="1800" w:type="dxa"/>
            <w:gridSpan w:val="2"/>
            <w:tcBorders>
              <w:top w:val="nil"/>
              <w:left w:val="nil"/>
              <w:bottom w:val="nil"/>
              <w:right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right"/>
              <w:rPr>
                <w:rFonts w:ascii="Times New Roman CYR" w:hAnsi="Times New Roman CYR" w:cs="Times New Roman CYR"/>
              </w:rPr>
            </w:pPr>
            <w:r w:rsidRPr="00F563AB">
              <w:rPr>
                <w:rFonts w:ascii="Times New Roman CYR" w:hAnsi="Times New Roman CYR" w:cs="Times New Roman CYR"/>
              </w:rPr>
              <w:t>1801005</w:t>
            </w:r>
          </w:p>
        </w:tc>
      </w:tr>
      <w:tr w:rsidR="00CD10EB" w:rsidRPr="00F563AB">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Всього</w:t>
            </w:r>
          </w:p>
        </w:tc>
      </w:tr>
      <w:tr w:rsidR="00CD10EB" w:rsidRPr="00F563AB">
        <w:trPr>
          <w:trHeight w:val="200"/>
        </w:trPr>
        <w:tc>
          <w:tcPr>
            <w:tcW w:w="3050" w:type="dxa"/>
            <w:tcBorders>
              <w:top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rPr>
            </w:pPr>
            <w:r w:rsidRPr="00F563AB">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433 520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441 240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Коригування:</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433 520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441 240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70 151</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70 151</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-125</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-125</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Розподіл прибутку: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Спрямування прибутку до </w:t>
            </w:r>
            <w:r w:rsidRPr="00F563AB">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Внески учасників: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Вилучення капіталу: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70 026</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70 026</w:t>
            </w:r>
          </w:p>
        </w:tc>
      </w:tr>
      <w:tr w:rsidR="00CD10EB" w:rsidRPr="00F563AB">
        <w:trPr>
          <w:trHeight w:val="200"/>
        </w:trPr>
        <w:tc>
          <w:tcPr>
            <w:tcW w:w="30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rPr>
                <w:rFonts w:ascii="Times New Roman CYR" w:hAnsi="Times New Roman CYR" w:cs="Times New Roman CYR"/>
              </w:rPr>
            </w:pPr>
            <w:r w:rsidRPr="00F563AB">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6 176</w:t>
            </w:r>
          </w:p>
        </w:tc>
        <w:tc>
          <w:tcPr>
            <w:tcW w:w="13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1 544</w:t>
            </w:r>
          </w:p>
        </w:tc>
        <w:tc>
          <w:tcPr>
            <w:tcW w:w="1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503 546</w:t>
            </w:r>
          </w:p>
        </w:tc>
        <w:tc>
          <w:tcPr>
            <w:tcW w:w="15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511 266</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Дубiна Микола Iванович</w:t>
      </w:r>
    </w:p>
    <w:p w:rsidR="00CD10EB" w:rsidRDefault="00CD10EB">
      <w:pPr>
        <w:widowControl w:val="0"/>
        <w:autoSpaceDE w:val="0"/>
        <w:autoSpaceDN w:val="0"/>
        <w:adjustRightInd w:val="0"/>
        <w:spacing w:after="0" w:line="240" w:lineRule="auto"/>
        <w:rPr>
          <w:rFonts w:ascii="Times New Roman CYR" w:hAnsi="Times New Roman CYR" w:cs="Times New Roman CYR"/>
        </w:rPr>
      </w:pPr>
    </w:p>
    <w:p w:rsidR="00CD10EB" w:rsidRDefault="00CD10E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Щур Тетяна Володимирiвна</w:t>
      </w: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rPr>
          <w:rFonts w:ascii="Times New Roman CYR" w:hAnsi="Times New Roman CYR" w:cs="Times New Roman CYR"/>
        </w:rPr>
        <w:sectPr w:rsidR="00CD10EB">
          <w:pgSz w:w="16838" w:h="11906" w:orient="landscape"/>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Звiтуюче пiдприємство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Органiзацiйна структура та дiяльнiсть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"Славутський солодовий завод" (надалi - Товариство) створено згiдно iз законодавством України та було засновано 25 грудня 1989 року як державне пiдприємство. В 1996 роцi в результатi приватизацiї Товариство було реорганiзоване у Вiдкрите акцiонерне товариство, а в 2011 роцi воно було перейменоване в Публiчне акцiонерне товариство. В  2017 роцi Збори Акцiонерiв Товариства прийняли рiшення  про перетворення акцiонерного товариства з Публiчного на Приватне.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дiяльнiстю Товариства є виробництво ячмiнного свiтлого пивоварного солоду. Максимальна виробнича потужнiсть Товариства складає 160 000 тонн солоду в рiк.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зареєстроване та фактично розташоване за адресою: 30068 Україна, Хмельницька обл., Славутський р-н., с. Крупець, вул. Богдана Хмельницького, 43.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Умови здiйснення дiяльностi в Українi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переважно здiйснюється в Українi. Полiтична й економiчна ситуацiя в Українi в останнi роки нестабiльна, їй притаманнi особливостi ринку, що розвивається. Внаслiдок цього, здiйснення дiяльностi в країнi пов'зане з ризиками, що є нетиповими для iнших країн.</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Збройний конфлiкт в окремих частинах Луганської та Донецької областей, що почався навеснi 2014 року, не закiнчений; частини Донецької та Луганської областей залишаються пiд контролем самопроголошених республiк, i українська влада в даний час не має можливостi повною мiрою забезпечити застосування українського законодавства на територiї даних областей. У березнi 2014 року ряд подiй в Криму призвiв до приєднання Республiки Крим до Росiйської Федерацiї, яке не було визнано Україною та багатьма iншими країнами. Дана подiя спричинила iстотне погiршення вiдносин мiж Україною i Росiйською Федерацiєю.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економiчної кризи 2014-2015 рокiв українська економiка продемонструвала значне пожвавлення за останнi пару рокiв у виглядi уповiльнення темпiв iнфляцiї, стабiльного курсу обмiну гривнi, зростання ВВП i загального пожвавлення дiлової активностi.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набрав чинностi новий закон про валюту та валютнi операцiї. Новий закон скасував ряд обмежень, визначив новi принципи валютних операцiй, валютного регулювання та нагляду i привiв до значної лiбералiзацiї операцiй з iноземною валютою i руху капiталу. Зокрема, була скасована вимога про обов'язковий продаж надходжень в iноземнiй валютi на мiжбанкiвському ринку, а розрахунковий перiод для експортно-iмпортних операцiй в iноземнiй валютi був значно збiльшений. Також було скасовано всi обмеження щодо виведення валюти за кордон для виплати дивiдендiв.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Мiжнародний валютний фонд ("МВФ") продовжував надавати пiдтримку українському уряду в рамках чотирнадцятимiсячної програми Stand-By, затвердженої в груднi 2018 року. Iншi мiжнароднi фiнансовi установи також надавали останнiми роками значну технiчну пiдтримку з тим, щоб допомогти Українi реструктурувати зовнiшнiй борг i здiйснити рiзнi реформи, в тому числi реформу стосовно боротьби з корупцiєю, реформу в сферi корпоративного права, земельну реформу i поступову лiбералiзацiю енергетичного сектора.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пiсля президентських i парламентських виборiв було сформовано новий уряд, який ставить собi за мету продовжити реформування української економiки, стимулювати економiчне зростання та боротися з корупцiєю.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вереснi 2019 року рейтинговi агентства S&amp;P та Fitch пiдвищили кредитний рейтинг України до рiвня В зi стабiльним та до рiвня В з позитивним прогнозом на майбутнє, вiдповiдно, який вiдображає покращення доступу до бюджетного i зовнiшнього фiнансування, досягнення макроекономiчної стабiльностi та зменшення державного боргу. Подальша стабiлiзацiя </w:t>
      </w:r>
      <w:r>
        <w:rPr>
          <w:rFonts w:ascii="Times New Roman CYR" w:hAnsi="Times New Roman CYR" w:cs="Times New Roman CYR"/>
          <w:sz w:val="24"/>
          <w:szCs w:val="24"/>
        </w:rPr>
        <w:lastRenderedPageBreak/>
        <w:t>економiчної та полiтичної ситуацiї залежить великою мiрою вiд продовження проведення урядом структурних реформ, продовження спiвробiтництва з МВФ та рефiнансування державного боргу, який пiдлягає погашенню в наступнi роки.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Хоча управлiнський персонал вважає, що вiн вживає належнi заходи на пiдтримку стабiльної дiяльностi Товариства, необхiднi за iснуючих обставин, подальша нестабiльнiсть умов здiйснення дiяльностi може спричинити негативний вплив на результати дiяльностi та фiнансовий стан Товариства, характер та наслiдки якого на поточний момент визначити неможливо. Ця фiнансова звiтнiсть вiдображає поточну оцiнку управлiнського персоналу щодо впливу умов здiйснення дiяльностi в Українi на операцiйну дiяльнiсть та фiнансовий стан Товариства. Майбутнi умови здiйснення дiяльностi можуть вiдрiзнятися вiд оцiнки управлiнського персоналу.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Пiдтвердження вiдповiдностi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складена згiдно з вимогами Мiжнародних стандартiв фiнансової звiтностi ("МСФЗ").</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Функцiональна валюта та валюта подання звiтностi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Нацiональною валютою України є гривня, яка є функцiональною валютою Товариства i валютою, в якiй представлена фiнансова звiтнiсть. Вся фiнансова iнформацiя, що представлена в гривнях, округлена до тисяч (якщо не вказано iнше).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Гривня не є вiльноконвертованою валютою за межами України. Вiдповiдно, будь-яке перерахування сум в iноземнiй валютi у гривнi не повинно тлумачитися таким чином, що суми в iноземнiй валютi були, могли бути чи будуть у майбутньому вiльно конвертованi у гривнi за представленими курсами обмiну або за будь-якими iншими курсами обмiну.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Використання оцiнок та суджень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Складання фiнансової звiтностi згiдно з МСФЗ вимагає вiд управлiнського персоналу формування суджень, оцiнок та припущень, якi впливають на застосування принципiв облiкової полiтики, на суми активiв та зобов'язань, доходiв та витрат, вiдображених у звiтностi, а також на розкриття iнформацiї про непередбаченi активи та зобов'язання. Фактичнi результати можуть вiдрiзнятися вiд цих оцiнок.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та припущення, на яких вони ?рунтуються, регулярно переглядаються. Результати перегляду облiкових оцiнок визнаються у перiодi, в якому вони переглядаються, а також у всiх наступних перiодах, на якi впливають такi оцiнки.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важливi судження, використанi при застосуваннi принципiв облiкової полiтики, висвiтлена у Примiтцi 21 (б)(ii) - оцiнка резерву пiд очiкуванi кредитнi збитки стосовно дебiторської заборгованостi.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Змiни значущих облiкових полiтик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вперше застосувало МСФЗ 16 "Оренда" з 1 сiчня 2019 року. МСФЗ 16 запровадив єдину модель балансового облiку для орендарiв. В результатi, Товариство як орендар визнало активи у формi права користування, що являє собою право використовувати базовi активи, i зобов'язання з оренди, що являє собою обов'язок здiйснювати оренднi платежi. Правила облiку для орендодавцiв залишаються подiбними до попереднiх.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застосувало МСФЗ 16 з використанням модифiкованого ретроспективного пiдходу, згiдно з яким кумулятивний ефект першого застосування визнається у складi нерозподiленого прибутку на 1 сiчня 2019 року Вiдповiдно, порiвняльна iнформацiя, представлена за 2018 рiк, не була перерахована, тобто вона подається в тому виглядi, в якому вона була подана ранiше згiдно з МСБО 17 та вiдповiдними тлумаченнями. Детальна iнформацiя про змiни в облiкових полiтиках розкрита нижче.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оренди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Ранiше Товариство визначало на момент укладення договору, чи договiр являв собою чи мiстив оренду вiдповiдно до КТМФЗ 4 "Визначення, чи мiстить угода оренду". Тепер Товариство оцiнює, чи договiр являє собою або мiстить оренду, виходячи з нового визначення оренди. </w:t>
      </w:r>
      <w:r>
        <w:rPr>
          <w:rFonts w:ascii="Times New Roman CYR" w:hAnsi="Times New Roman CYR" w:cs="Times New Roman CYR"/>
          <w:sz w:val="24"/>
          <w:szCs w:val="24"/>
        </w:rPr>
        <w:lastRenderedPageBreak/>
        <w:t>Вiдповiдно до МСФЗ 16, договiр являє собою чи мiстить оренду, якщо договiр передає право контролювати користування iдентифiкованим активом протягом певного перiоду часу в обмiн на компенсацiю.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переходi на МСФЗ 16 Товариство прийняло рiшення застосувати спрощення практичного характеру, що дозволяє не переглядати результати ранiше проведеної оцiнки операцiй з метою виявлення, чи вони є або мiстять оренду. Воно застосувало МСФЗ 16 тiльки до тих договорiв, якi були ранiше визначенi як договори оренди. Договори, що не були ранiше визначенi як оренда згiдно з МСБО 17 та КТМФЗ 4, не були переоцiненi на предмет того, чи вони являють собою або мiстять оренду. Отже, визначення оренди за МСФЗ 16 було застосоване тiльки до тих договорiв, якi були укладенi чи змiненi 1 сiчня 2019 року або пiзнiше.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як орендар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орендує невелику кiлькiсть активiв, якi представленi складами.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як орендар ранiше класифiкувало оренду як операцiйну оренду. Вiдповiдно до МСФЗ 16, Товариство визнає активи у формi права користування i зобов'язання з оренди за бiльшiстю договорiв оренди - тобто цi договори облiковуються на балансi Товариства.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подає зобов'язання з оренди у статтi "Iншi довгостроковi зобов`язання" та "Поточна кредиторська заборгованiсть за: довгостроковими зобов'язаннями" залежно вiд їх строку погашення, а активи у формi права користування подаються у складi статтi "Основнi засоби".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орендодавець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орендодавець, Товариство надає в оренду офiснi примiщення. Товариство класифiкувало цi договори оренди як операцiйну оренду.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облiкової полiтики, що застосовуються Товариством як орендодавцем, не вiдрiзняються вiд тих, що передбаченi МСБО 17. Проте, якщо Товариство є промiжним орендодавцем, воно класифiкує оренду як суборенду з урахуванням активу у формi права користування, що виникає за основною орендою, а не з урахуванням базового активу.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 Товариства не вимагається здiйснювати будь-якi коригування при переходi на МСФЗ 16 стосовно договорiв оренди, в яких воно дiє як орендодавець.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Перехiдний перiод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Ранiше Товариство класифiкувало оренду майна як операцiйну оренду вiдповiдно до МСБО 17. Сюди входять склади. Строк дiї договору оренди, як правило, становить 1 -3 роки. Товариство застосовувало широке розумiння економiчних факторiв та штрафiв для визначення строку оренди за договором оренди, у якому воно дiє як орендар.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перехiдному перiодi за договорами оренди, класифiкованими як операцiйна оренда вiдповiдно до МСБО 17, зобов'язання з оренди та активи у формi права користування оцiнювалися за теперiшньою вартiстю орендних платежiв, що залишилися, дисконтованою на  величину ставки додаткових запозичень Товариства на 1 сiчня 2019 року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Вплив на фiнансову звiтнiсть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Вплив на перехiдний перiод</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переходi на МСФЗ 16 Товариство визнало додатковi активи у формi права користування i додатковi зобов'язання з оренди на суму 16 582 тисяч гривень. При оцiнцi зобов'язань за договорами оренди, що ранiше класифiкувались як операцiйна оренда, Товариство дисконтувало оренднi платежi з використанням його ставки додаткових запозичень на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сiчня 2019 р. Застосована середньозважена ставка становить 5.5%.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Вплив за перiод</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результатi початкового застосування МСФЗ 16 по вiдношенню до договорiв оренди, якi ранiше класифiкувались як операцiйна оренда, Товариство визнало активи у формi права користування на суму 5 986 тисяч гривень та зобов'язання з оренди на суму 5 259 тисяч гривень на 31 грудня 2019 року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Крiм того, по вiдношенню до цих договорiв оренди вiдповiдно до МСФЗ 16 Товариство визнало амортизацiю та процентнi витрати замiсть витрат на операцiйну оренду. Протягом року, що закiнчився 31 грудня 2019 року,  Товариство визнало вибуття активiв у формi права </w:t>
      </w:r>
      <w:r>
        <w:rPr>
          <w:rFonts w:ascii="Times New Roman CYR" w:hAnsi="Times New Roman CYR" w:cs="Times New Roman CYR"/>
          <w:sz w:val="24"/>
          <w:szCs w:val="24"/>
        </w:rPr>
        <w:lastRenderedPageBreak/>
        <w:t>користування та зобов'язання з оренди на суму 5 730 тисяч гривень (Примiтка 15) i нарахувало амортизацiю на суму 4 866 тисяч гривень (Примiтка 15) i процентнi витрати за цими договорами оренди на суму 723 тисячi гривень (Примiтка 12).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Чистий дохiд вiд реалiзацiї продукцiї (товарiв, робiт, послуг)</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 дохiд вiд договорiв з клiєнтами, за рiк, що закiнчився 31 грудня, представлений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Чистий дохiд вiд реалiзацiї готової продукцiї </w:t>
      </w:r>
      <w:r>
        <w:rPr>
          <w:rFonts w:ascii="Times New Roman CYR" w:hAnsi="Times New Roman CYR" w:cs="Times New Roman CYR"/>
          <w:sz w:val="24"/>
          <w:szCs w:val="24"/>
        </w:rPr>
        <w:tab/>
        <w:t>1 565 181</w:t>
      </w:r>
      <w:r>
        <w:rPr>
          <w:rFonts w:ascii="Times New Roman CYR" w:hAnsi="Times New Roman CYR" w:cs="Times New Roman CYR"/>
          <w:sz w:val="24"/>
          <w:szCs w:val="24"/>
        </w:rPr>
        <w:tab/>
      </w:r>
      <w:r>
        <w:rPr>
          <w:rFonts w:ascii="Times New Roman CYR" w:hAnsi="Times New Roman CYR" w:cs="Times New Roman CYR"/>
          <w:sz w:val="24"/>
          <w:szCs w:val="24"/>
        </w:rPr>
        <w:tab/>
        <w:t>1 456 646</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1 205 594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дохiд вiд реалiзацiї ячменю, пшеницi та вiдходiв i покупного солоду</w:t>
      </w:r>
      <w:r>
        <w:rPr>
          <w:rFonts w:ascii="Times New Roman CYR" w:hAnsi="Times New Roman CYR" w:cs="Times New Roman CYR"/>
          <w:sz w:val="24"/>
          <w:szCs w:val="24"/>
        </w:rPr>
        <w:tab/>
        <w:t>248 036</w:t>
      </w:r>
      <w:r>
        <w:rPr>
          <w:rFonts w:ascii="Times New Roman CYR" w:hAnsi="Times New Roman CYR" w:cs="Times New Roman CYR"/>
          <w:sz w:val="24"/>
          <w:szCs w:val="24"/>
        </w:rPr>
        <w:tab/>
      </w:r>
      <w:r>
        <w:rPr>
          <w:rFonts w:ascii="Times New Roman CYR" w:hAnsi="Times New Roman CYR" w:cs="Times New Roman CYR"/>
          <w:sz w:val="24"/>
          <w:szCs w:val="24"/>
        </w:rPr>
        <w:tab/>
        <w:t xml:space="preserve"> 176 317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дохiд вiд реалiзацiї робiт, послуг</w:t>
      </w:r>
      <w:r>
        <w:rPr>
          <w:rFonts w:ascii="Times New Roman CYR" w:hAnsi="Times New Roman CYR" w:cs="Times New Roman CYR"/>
          <w:sz w:val="24"/>
          <w:szCs w:val="24"/>
        </w:rPr>
        <w:tab/>
        <w:t>30 496</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13 899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1 843  713</w:t>
      </w:r>
      <w:r>
        <w:rPr>
          <w:rFonts w:ascii="Times New Roman CYR" w:hAnsi="Times New Roman CYR" w:cs="Times New Roman CYR"/>
          <w:sz w:val="24"/>
          <w:szCs w:val="24"/>
        </w:rPr>
        <w:tab/>
      </w:r>
      <w:r>
        <w:rPr>
          <w:rFonts w:ascii="Times New Roman CYR" w:hAnsi="Times New Roman CYR" w:cs="Times New Roman CYR"/>
          <w:sz w:val="24"/>
          <w:szCs w:val="24"/>
        </w:rPr>
        <w:tab/>
        <w:t>1 646 862</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2019 року у Товариства є зобов'язання здiйснити поставку продукцiї по контрактам на продаж у сумi 437 273 тисячi гривень (31 грудня 2018 року: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180 534 тисяч гривень).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Собiвартiсть реалiзованої продукцiї (товарiв, робiт, послуг)</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 за рiк, що закiнчився 31 грудня, представлена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Сировина i матерiали</w:t>
      </w:r>
      <w:r>
        <w:rPr>
          <w:rFonts w:ascii="Times New Roman CYR" w:hAnsi="Times New Roman CYR" w:cs="Times New Roman CYR"/>
          <w:sz w:val="24"/>
          <w:szCs w:val="24"/>
        </w:rPr>
        <w:tab/>
        <w:t>1 262 866</w:t>
      </w:r>
      <w:r>
        <w:rPr>
          <w:rFonts w:ascii="Times New Roman CYR" w:hAnsi="Times New Roman CYR" w:cs="Times New Roman CYR"/>
          <w:sz w:val="24"/>
          <w:szCs w:val="24"/>
        </w:rPr>
        <w:tab/>
      </w:r>
      <w:r>
        <w:rPr>
          <w:rFonts w:ascii="Times New Roman CYR" w:hAnsi="Times New Roman CYR" w:cs="Times New Roman CYR"/>
          <w:sz w:val="24"/>
          <w:szCs w:val="24"/>
        </w:rPr>
        <w:tab/>
        <w:t>1 134 278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Собiвартiсть реалiзованих запасiв та наданих послуг</w:t>
      </w:r>
      <w:r>
        <w:rPr>
          <w:rFonts w:ascii="Times New Roman CYR" w:hAnsi="Times New Roman CYR" w:cs="Times New Roman CYR"/>
          <w:sz w:val="24"/>
          <w:szCs w:val="24"/>
        </w:rPr>
        <w:tab/>
        <w:t>192 338</w:t>
      </w:r>
      <w:r>
        <w:rPr>
          <w:rFonts w:ascii="Times New Roman CYR" w:hAnsi="Times New Roman CYR" w:cs="Times New Roman CYR"/>
          <w:sz w:val="24"/>
          <w:szCs w:val="24"/>
        </w:rPr>
        <w:tab/>
      </w:r>
      <w:r>
        <w:rPr>
          <w:rFonts w:ascii="Times New Roman CYR" w:hAnsi="Times New Roman CYR" w:cs="Times New Roman CYR"/>
          <w:sz w:val="24"/>
          <w:szCs w:val="24"/>
        </w:rPr>
        <w:tab/>
        <w:t>141 883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Амортизацiя</w:t>
      </w:r>
      <w:r>
        <w:rPr>
          <w:rFonts w:ascii="Times New Roman CYR" w:hAnsi="Times New Roman CYR" w:cs="Times New Roman CYR"/>
          <w:sz w:val="24"/>
          <w:szCs w:val="24"/>
        </w:rPr>
        <w:tab/>
        <w:t>15 281</w:t>
      </w:r>
      <w:r>
        <w:rPr>
          <w:rFonts w:ascii="Times New Roman CYR" w:hAnsi="Times New Roman CYR" w:cs="Times New Roman CYR"/>
          <w:sz w:val="24"/>
          <w:szCs w:val="24"/>
        </w:rPr>
        <w:tab/>
      </w:r>
      <w:r>
        <w:rPr>
          <w:rFonts w:ascii="Times New Roman CYR" w:hAnsi="Times New Roman CYR" w:cs="Times New Roman CYR"/>
          <w:sz w:val="24"/>
          <w:szCs w:val="24"/>
        </w:rPr>
        <w:tab/>
        <w:t>15 873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Заробiтна плата та вiдрахування на соцiальнi заходи</w:t>
      </w:r>
      <w:r>
        <w:rPr>
          <w:rFonts w:ascii="Times New Roman CYR" w:hAnsi="Times New Roman CYR" w:cs="Times New Roman CYR"/>
          <w:sz w:val="24"/>
          <w:szCs w:val="24"/>
        </w:rPr>
        <w:tab/>
        <w:t>13 559</w:t>
      </w:r>
      <w:r>
        <w:rPr>
          <w:rFonts w:ascii="Times New Roman CYR" w:hAnsi="Times New Roman CYR" w:cs="Times New Roman CYR"/>
          <w:sz w:val="24"/>
          <w:szCs w:val="24"/>
        </w:rPr>
        <w:tab/>
      </w:r>
      <w:r>
        <w:rPr>
          <w:rFonts w:ascii="Times New Roman CYR" w:hAnsi="Times New Roman CYR" w:cs="Times New Roman CYR"/>
          <w:sz w:val="24"/>
          <w:szCs w:val="24"/>
        </w:rPr>
        <w:tab/>
        <w:t>13 310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Iнше</w:t>
      </w:r>
      <w:r>
        <w:rPr>
          <w:rFonts w:ascii="Times New Roman CYR" w:hAnsi="Times New Roman CYR" w:cs="Times New Roman CYR"/>
          <w:sz w:val="24"/>
          <w:szCs w:val="24"/>
        </w:rPr>
        <w:tab/>
        <w:t>26 160</w:t>
      </w:r>
      <w:r>
        <w:rPr>
          <w:rFonts w:ascii="Times New Roman CYR" w:hAnsi="Times New Roman CYR" w:cs="Times New Roman CYR"/>
          <w:sz w:val="24"/>
          <w:szCs w:val="24"/>
        </w:rPr>
        <w:tab/>
      </w:r>
      <w:r>
        <w:rPr>
          <w:rFonts w:ascii="Times New Roman CYR" w:hAnsi="Times New Roman CYR" w:cs="Times New Roman CYR"/>
          <w:sz w:val="24"/>
          <w:szCs w:val="24"/>
        </w:rPr>
        <w:tab/>
        <w:t>24 830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1 510 204</w:t>
      </w:r>
      <w:r>
        <w:rPr>
          <w:rFonts w:ascii="Times New Roman CYR" w:hAnsi="Times New Roman CYR" w:cs="Times New Roman CYR"/>
          <w:sz w:val="24"/>
          <w:szCs w:val="24"/>
        </w:rPr>
        <w:tab/>
      </w:r>
      <w:r>
        <w:rPr>
          <w:rFonts w:ascii="Times New Roman CYR" w:hAnsi="Times New Roman CYR" w:cs="Times New Roman CYR"/>
          <w:sz w:val="24"/>
          <w:szCs w:val="24"/>
        </w:rPr>
        <w:tab/>
        <w:t>1 330 174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Iншi операцiйнi доходи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Перегляд нарахованого резерву претензiй</w:t>
      </w:r>
      <w:r>
        <w:rPr>
          <w:rFonts w:ascii="Times New Roman CYR" w:hAnsi="Times New Roman CYR" w:cs="Times New Roman CYR"/>
          <w:sz w:val="24"/>
          <w:szCs w:val="24"/>
        </w:rPr>
        <w:tab/>
      </w:r>
      <w:r>
        <w:rPr>
          <w:rFonts w:ascii="Times New Roman CYR" w:hAnsi="Times New Roman CYR" w:cs="Times New Roman CYR"/>
          <w:sz w:val="24"/>
          <w:szCs w:val="24"/>
        </w:rPr>
        <w:tab/>
        <w:t>3 350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3 704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Дохiд вiд операцiйної оренди активiв</w:t>
      </w:r>
      <w:r>
        <w:rPr>
          <w:rFonts w:ascii="Times New Roman CYR" w:hAnsi="Times New Roman CYR" w:cs="Times New Roman CYR"/>
          <w:sz w:val="24"/>
          <w:szCs w:val="24"/>
        </w:rPr>
        <w:tab/>
        <w:t>898</w:t>
      </w:r>
      <w:r>
        <w:rPr>
          <w:rFonts w:ascii="Times New Roman CYR" w:hAnsi="Times New Roman CYR" w:cs="Times New Roman CYR"/>
          <w:sz w:val="24"/>
          <w:szCs w:val="24"/>
        </w:rPr>
        <w:tab/>
      </w:r>
      <w:r>
        <w:rPr>
          <w:rFonts w:ascii="Times New Roman CYR" w:hAnsi="Times New Roman CYR" w:cs="Times New Roman CYR"/>
          <w:sz w:val="24"/>
          <w:szCs w:val="24"/>
        </w:rPr>
        <w:tab/>
        <w:t>1 208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Одержанi вiдсотки на рахунках банку</w:t>
      </w:r>
      <w:r>
        <w:rPr>
          <w:rFonts w:ascii="Times New Roman CYR" w:hAnsi="Times New Roman CYR" w:cs="Times New Roman CYR"/>
          <w:sz w:val="24"/>
          <w:szCs w:val="24"/>
        </w:rPr>
        <w:tab/>
      </w:r>
      <w:r>
        <w:rPr>
          <w:rFonts w:ascii="Times New Roman CYR" w:hAnsi="Times New Roman CYR" w:cs="Times New Roman CYR"/>
          <w:sz w:val="24"/>
          <w:szCs w:val="24"/>
        </w:rPr>
        <w:tab/>
        <w:t>66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803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Одержанi штрафи</w:t>
      </w:r>
      <w:r>
        <w:rPr>
          <w:rFonts w:ascii="Times New Roman CYR" w:hAnsi="Times New Roman CYR" w:cs="Times New Roman CYR"/>
          <w:sz w:val="24"/>
          <w:szCs w:val="24"/>
        </w:rPr>
        <w:tab/>
        <w:t>12</w:t>
      </w:r>
      <w:r>
        <w:rPr>
          <w:rFonts w:ascii="Times New Roman CYR" w:hAnsi="Times New Roman CYR" w:cs="Times New Roman CYR"/>
          <w:sz w:val="24"/>
          <w:szCs w:val="24"/>
        </w:rPr>
        <w:tab/>
      </w:r>
      <w:r>
        <w:rPr>
          <w:rFonts w:ascii="Times New Roman CYR" w:hAnsi="Times New Roman CYR" w:cs="Times New Roman CYR"/>
          <w:sz w:val="24"/>
          <w:szCs w:val="24"/>
        </w:rPr>
        <w:tab/>
        <w:t>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Дохiд вiд сторнування резерву дооцiнки вартостi оренди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4 031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Iнше</w:t>
      </w:r>
      <w:r>
        <w:rPr>
          <w:rFonts w:ascii="Times New Roman CYR" w:hAnsi="Times New Roman CYR" w:cs="Times New Roman CYR"/>
          <w:sz w:val="24"/>
          <w:szCs w:val="24"/>
        </w:rPr>
        <w:tab/>
        <w:t>1 208</w:t>
      </w:r>
      <w:r>
        <w:rPr>
          <w:rFonts w:ascii="Times New Roman CYR" w:hAnsi="Times New Roman CYR" w:cs="Times New Roman CYR"/>
          <w:sz w:val="24"/>
          <w:szCs w:val="24"/>
        </w:rPr>
        <w:tab/>
      </w:r>
      <w:r>
        <w:rPr>
          <w:rFonts w:ascii="Times New Roman CYR" w:hAnsi="Times New Roman CYR" w:cs="Times New Roman CYR"/>
          <w:sz w:val="24"/>
          <w:szCs w:val="24"/>
        </w:rPr>
        <w:tab/>
        <w:t>406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5 534</w:t>
      </w:r>
      <w:r>
        <w:rPr>
          <w:rFonts w:ascii="Times New Roman CYR" w:hAnsi="Times New Roman CYR" w:cs="Times New Roman CYR"/>
          <w:sz w:val="24"/>
          <w:szCs w:val="24"/>
        </w:rPr>
        <w:tab/>
      </w:r>
      <w:r>
        <w:rPr>
          <w:rFonts w:ascii="Times New Roman CYR" w:hAnsi="Times New Roman CYR" w:cs="Times New Roman CYR"/>
          <w:sz w:val="24"/>
          <w:szCs w:val="24"/>
        </w:rPr>
        <w:tab/>
        <w:t>10 159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Адмiнiстративнi витрати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Заробiтна плата та вiдрахування на соцiальнi заходи</w:t>
      </w:r>
      <w:r>
        <w:rPr>
          <w:rFonts w:ascii="Times New Roman CYR" w:hAnsi="Times New Roman CYR" w:cs="Times New Roman CYR"/>
          <w:sz w:val="24"/>
          <w:szCs w:val="24"/>
        </w:rPr>
        <w:tab/>
        <w:t>8 920</w:t>
      </w:r>
      <w:r>
        <w:rPr>
          <w:rFonts w:ascii="Times New Roman CYR" w:hAnsi="Times New Roman CYR" w:cs="Times New Roman CYR"/>
          <w:sz w:val="24"/>
          <w:szCs w:val="24"/>
        </w:rPr>
        <w:tab/>
      </w:r>
      <w:r>
        <w:rPr>
          <w:rFonts w:ascii="Times New Roman CYR" w:hAnsi="Times New Roman CYR" w:cs="Times New Roman CYR"/>
          <w:sz w:val="24"/>
          <w:szCs w:val="24"/>
        </w:rPr>
        <w:tab/>
        <w:t>8 259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Професiйнi послуги </w:t>
      </w:r>
      <w:r>
        <w:rPr>
          <w:rFonts w:ascii="Times New Roman CYR" w:hAnsi="Times New Roman CYR" w:cs="Times New Roman CYR"/>
          <w:sz w:val="24"/>
          <w:szCs w:val="24"/>
        </w:rPr>
        <w:tab/>
        <w:t>8 911</w:t>
      </w:r>
      <w:r>
        <w:rPr>
          <w:rFonts w:ascii="Times New Roman CYR" w:hAnsi="Times New Roman CYR" w:cs="Times New Roman CYR"/>
          <w:sz w:val="24"/>
          <w:szCs w:val="24"/>
        </w:rPr>
        <w:tab/>
      </w:r>
      <w:r>
        <w:rPr>
          <w:rFonts w:ascii="Times New Roman CYR" w:hAnsi="Times New Roman CYR" w:cs="Times New Roman CYR"/>
          <w:sz w:val="24"/>
          <w:szCs w:val="24"/>
        </w:rPr>
        <w:tab/>
        <w:t>7 548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Послуги на обслуговування та ремонти</w:t>
      </w:r>
      <w:r>
        <w:rPr>
          <w:rFonts w:ascii="Times New Roman CYR" w:hAnsi="Times New Roman CYR" w:cs="Times New Roman CYR"/>
          <w:sz w:val="24"/>
          <w:szCs w:val="24"/>
        </w:rPr>
        <w:tab/>
        <w:t>1 058</w:t>
      </w:r>
      <w:r>
        <w:rPr>
          <w:rFonts w:ascii="Times New Roman CYR" w:hAnsi="Times New Roman CYR" w:cs="Times New Roman CYR"/>
          <w:sz w:val="24"/>
          <w:szCs w:val="24"/>
        </w:rPr>
        <w:tab/>
      </w:r>
      <w:r>
        <w:rPr>
          <w:rFonts w:ascii="Times New Roman CYR" w:hAnsi="Times New Roman CYR" w:cs="Times New Roman CYR"/>
          <w:sz w:val="24"/>
          <w:szCs w:val="24"/>
        </w:rPr>
        <w:tab/>
        <w:t>1 138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Матерiальнi витрати</w:t>
      </w:r>
      <w:r>
        <w:rPr>
          <w:rFonts w:ascii="Times New Roman CYR" w:hAnsi="Times New Roman CYR" w:cs="Times New Roman CYR"/>
          <w:sz w:val="24"/>
          <w:szCs w:val="24"/>
        </w:rPr>
        <w:tab/>
        <w:t>932</w:t>
      </w:r>
      <w:r>
        <w:rPr>
          <w:rFonts w:ascii="Times New Roman CYR" w:hAnsi="Times New Roman CYR" w:cs="Times New Roman CYR"/>
          <w:sz w:val="24"/>
          <w:szCs w:val="24"/>
        </w:rPr>
        <w:tab/>
      </w:r>
      <w:r>
        <w:rPr>
          <w:rFonts w:ascii="Times New Roman CYR" w:hAnsi="Times New Roman CYR" w:cs="Times New Roman CYR"/>
          <w:sz w:val="24"/>
          <w:szCs w:val="24"/>
        </w:rPr>
        <w:tab/>
        <w:t>1 008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Амортизацiя</w:t>
      </w:r>
      <w:r>
        <w:rPr>
          <w:rFonts w:ascii="Times New Roman CYR" w:hAnsi="Times New Roman CYR" w:cs="Times New Roman CYR"/>
          <w:sz w:val="24"/>
          <w:szCs w:val="24"/>
        </w:rPr>
        <w:tab/>
        <w:t>917</w:t>
      </w:r>
      <w:r>
        <w:rPr>
          <w:rFonts w:ascii="Times New Roman CYR" w:hAnsi="Times New Roman CYR" w:cs="Times New Roman CYR"/>
          <w:sz w:val="24"/>
          <w:szCs w:val="24"/>
        </w:rPr>
        <w:tab/>
      </w:r>
      <w:r>
        <w:rPr>
          <w:rFonts w:ascii="Times New Roman CYR" w:hAnsi="Times New Roman CYR" w:cs="Times New Roman CYR"/>
          <w:sz w:val="24"/>
          <w:szCs w:val="24"/>
        </w:rPr>
        <w:tab/>
        <w:t>552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Податки</w:t>
      </w:r>
      <w:r>
        <w:rPr>
          <w:rFonts w:ascii="Times New Roman CYR" w:hAnsi="Times New Roman CYR" w:cs="Times New Roman CYR"/>
          <w:sz w:val="24"/>
          <w:szCs w:val="24"/>
        </w:rPr>
        <w:tab/>
        <w:t>856</w:t>
      </w:r>
      <w:r>
        <w:rPr>
          <w:rFonts w:ascii="Times New Roman CYR" w:hAnsi="Times New Roman CYR" w:cs="Times New Roman CYR"/>
          <w:sz w:val="24"/>
          <w:szCs w:val="24"/>
        </w:rPr>
        <w:tab/>
      </w:r>
      <w:r>
        <w:rPr>
          <w:rFonts w:ascii="Times New Roman CYR" w:hAnsi="Times New Roman CYR" w:cs="Times New Roman CYR"/>
          <w:sz w:val="24"/>
          <w:szCs w:val="24"/>
        </w:rPr>
        <w:tab/>
        <w:t>401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комiсiї</w:t>
      </w:r>
      <w:r>
        <w:rPr>
          <w:rFonts w:ascii="Times New Roman CYR" w:hAnsi="Times New Roman CYR" w:cs="Times New Roman CYR"/>
          <w:sz w:val="24"/>
          <w:szCs w:val="24"/>
        </w:rPr>
        <w:tab/>
        <w:t>605</w:t>
      </w:r>
      <w:r>
        <w:rPr>
          <w:rFonts w:ascii="Times New Roman CYR" w:hAnsi="Times New Roman CYR" w:cs="Times New Roman CYR"/>
          <w:sz w:val="24"/>
          <w:szCs w:val="24"/>
        </w:rPr>
        <w:tab/>
      </w:r>
      <w:r>
        <w:rPr>
          <w:rFonts w:ascii="Times New Roman CYR" w:hAnsi="Times New Roman CYR" w:cs="Times New Roman CYR"/>
          <w:sz w:val="24"/>
          <w:szCs w:val="24"/>
        </w:rPr>
        <w:tab/>
        <w:t>728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Благодiйнiсть та фiнансова допомога</w:t>
      </w:r>
      <w:r>
        <w:rPr>
          <w:rFonts w:ascii="Times New Roman CYR" w:hAnsi="Times New Roman CYR" w:cs="Times New Roman CYR"/>
          <w:sz w:val="24"/>
          <w:szCs w:val="24"/>
        </w:rPr>
        <w:tab/>
        <w:t>433</w:t>
      </w:r>
      <w:r>
        <w:rPr>
          <w:rFonts w:ascii="Times New Roman CYR" w:hAnsi="Times New Roman CYR" w:cs="Times New Roman CYR"/>
          <w:sz w:val="24"/>
          <w:szCs w:val="24"/>
        </w:rPr>
        <w:tab/>
      </w:r>
      <w:r>
        <w:rPr>
          <w:rFonts w:ascii="Times New Roman CYR" w:hAnsi="Times New Roman CYR" w:cs="Times New Roman CYR"/>
          <w:sz w:val="24"/>
          <w:szCs w:val="24"/>
        </w:rPr>
        <w:tab/>
        <w:t>363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Послуги зв'язку</w:t>
      </w:r>
      <w:r>
        <w:rPr>
          <w:rFonts w:ascii="Times New Roman CYR" w:hAnsi="Times New Roman CYR" w:cs="Times New Roman CYR"/>
          <w:sz w:val="24"/>
          <w:szCs w:val="24"/>
        </w:rPr>
        <w:tab/>
        <w:t>162</w:t>
      </w:r>
      <w:r>
        <w:rPr>
          <w:rFonts w:ascii="Times New Roman CYR" w:hAnsi="Times New Roman CYR" w:cs="Times New Roman CYR"/>
          <w:sz w:val="24"/>
          <w:szCs w:val="24"/>
        </w:rPr>
        <w:tab/>
      </w:r>
      <w:r>
        <w:rPr>
          <w:rFonts w:ascii="Times New Roman CYR" w:hAnsi="Times New Roman CYR" w:cs="Times New Roman CYR"/>
          <w:sz w:val="24"/>
          <w:szCs w:val="24"/>
        </w:rPr>
        <w:tab/>
        <w:t>216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Iнше</w:t>
      </w:r>
      <w:r>
        <w:rPr>
          <w:rFonts w:ascii="Times New Roman CYR" w:hAnsi="Times New Roman CYR" w:cs="Times New Roman CYR"/>
          <w:sz w:val="24"/>
          <w:szCs w:val="24"/>
        </w:rPr>
        <w:tab/>
        <w:t>1 084</w:t>
      </w:r>
      <w:r>
        <w:rPr>
          <w:rFonts w:ascii="Times New Roman CYR" w:hAnsi="Times New Roman CYR" w:cs="Times New Roman CYR"/>
          <w:sz w:val="24"/>
          <w:szCs w:val="24"/>
        </w:rPr>
        <w:tab/>
      </w:r>
      <w:r>
        <w:rPr>
          <w:rFonts w:ascii="Times New Roman CYR" w:hAnsi="Times New Roman CYR" w:cs="Times New Roman CYR"/>
          <w:sz w:val="24"/>
          <w:szCs w:val="24"/>
        </w:rPr>
        <w:tab/>
        <w:t>901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23 878</w:t>
      </w:r>
      <w:r>
        <w:rPr>
          <w:rFonts w:ascii="Times New Roman CYR" w:hAnsi="Times New Roman CYR" w:cs="Times New Roman CYR"/>
          <w:sz w:val="24"/>
          <w:szCs w:val="24"/>
        </w:rPr>
        <w:tab/>
      </w:r>
      <w:r>
        <w:rPr>
          <w:rFonts w:ascii="Times New Roman CYR" w:hAnsi="Times New Roman CYR" w:cs="Times New Roman CYR"/>
          <w:sz w:val="24"/>
          <w:szCs w:val="24"/>
        </w:rPr>
        <w:tab/>
        <w:t>21 114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Витрати на збут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витрати</w:t>
      </w:r>
      <w:r>
        <w:rPr>
          <w:rFonts w:ascii="Times New Roman CYR" w:hAnsi="Times New Roman CYR" w:cs="Times New Roman CYR"/>
          <w:sz w:val="24"/>
          <w:szCs w:val="24"/>
        </w:rPr>
        <w:tab/>
        <w:t>121 112</w:t>
      </w:r>
      <w:r>
        <w:rPr>
          <w:rFonts w:ascii="Times New Roman CYR" w:hAnsi="Times New Roman CYR" w:cs="Times New Roman CYR"/>
          <w:sz w:val="24"/>
          <w:szCs w:val="24"/>
        </w:rPr>
        <w:tab/>
      </w:r>
      <w:r>
        <w:rPr>
          <w:rFonts w:ascii="Times New Roman CYR" w:hAnsi="Times New Roman CYR" w:cs="Times New Roman CYR"/>
          <w:sz w:val="24"/>
          <w:szCs w:val="24"/>
        </w:rPr>
        <w:tab/>
        <w:t>99 426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активiв з правом використання</w:t>
      </w:r>
      <w:r>
        <w:rPr>
          <w:rFonts w:ascii="Times New Roman CYR" w:hAnsi="Times New Roman CYR" w:cs="Times New Roman CYR"/>
          <w:sz w:val="24"/>
          <w:szCs w:val="24"/>
        </w:rPr>
        <w:tab/>
        <w:t>4 866</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вiдрахування на соцiальнi заходи</w:t>
      </w:r>
      <w:r>
        <w:rPr>
          <w:rFonts w:ascii="Times New Roman CYR" w:hAnsi="Times New Roman CYR" w:cs="Times New Roman CYR"/>
          <w:sz w:val="24"/>
          <w:szCs w:val="24"/>
        </w:rPr>
        <w:tab/>
        <w:t>3 539</w:t>
      </w:r>
      <w:r>
        <w:rPr>
          <w:rFonts w:ascii="Times New Roman CYR" w:hAnsi="Times New Roman CYR" w:cs="Times New Roman CYR"/>
          <w:sz w:val="24"/>
          <w:szCs w:val="24"/>
        </w:rPr>
        <w:tab/>
      </w:r>
      <w:r>
        <w:rPr>
          <w:rFonts w:ascii="Times New Roman CYR" w:hAnsi="Times New Roman CYR" w:cs="Times New Roman CYR"/>
          <w:sz w:val="24"/>
          <w:szCs w:val="24"/>
        </w:rPr>
        <w:tab/>
        <w:t>3 085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1 436</w:t>
      </w:r>
      <w:r>
        <w:rPr>
          <w:rFonts w:ascii="Times New Roman CYR" w:hAnsi="Times New Roman CYR" w:cs="Times New Roman CYR"/>
          <w:sz w:val="24"/>
          <w:szCs w:val="24"/>
        </w:rPr>
        <w:tab/>
      </w:r>
      <w:r>
        <w:rPr>
          <w:rFonts w:ascii="Times New Roman CYR" w:hAnsi="Times New Roman CYR" w:cs="Times New Roman CYR"/>
          <w:sz w:val="24"/>
          <w:szCs w:val="24"/>
        </w:rPr>
        <w:tab/>
        <w:t>1 134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284</w:t>
      </w:r>
      <w:r>
        <w:rPr>
          <w:rFonts w:ascii="Times New Roman CYR" w:hAnsi="Times New Roman CYR" w:cs="Times New Roman CYR"/>
          <w:sz w:val="24"/>
          <w:szCs w:val="24"/>
        </w:rPr>
        <w:tab/>
      </w:r>
      <w:r>
        <w:rPr>
          <w:rFonts w:ascii="Times New Roman CYR" w:hAnsi="Times New Roman CYR" w:cs="Times New Roman CYR"/>
          <w:sz w:val="24"/>
          <w:szCs w:val="24"/>
        </w:rPr>
        <w:tab/>
        <w:t>288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логiстичних складiв</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5 840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w:t>
      </w:r>
      <w:r>
        <w:rPr>
          <w:rFonts w:ascii="Times New Roman CYR" w:hAnsi="Times New Roman CYR" w:cs="Times New Roman CYR"/>
          <w:sz w:val="24"/>
          <w:szCs w:val="24"/>
        </w:rPr>
        <w:tab/>
        <w:t>1 599</w:t>
      </w:r>
      <w:r>
        <w:rPr>
          <w:rFonts w:ascii="Times New Roman CYR" w:hAnsi="Times New Roman CYR" w:cs="Times New Roman CYR"/>
          <w:sz w:val="24"/>
          <w:szCs w:val="24"/>
        </w:rPr>
        <w:tab/>
      </w:r>
      <w:r>
        <w:rPr>
          <w:rFonts w:ascii="Times New Roman CYR" w:hAnsi="Times New Roman CYR" w:cs="Times New Roman CYR"/>
          <w:sz w:val="24"/>
          <w:szCs w:val="24"/>
        </w:rPr>
        <w:tab/>
        <w:t>1 385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132 836</w:t>
      </w:r>
      <w:r>
        <w:rPr>
          <w:rFonts w:ascii="Times New Roman CYR" w:hAnsi="Times New Roman CYR" w:cs="Times New Roman CYR"/>
          <w:sz w:val="24"/>
          <w:szCs w:val="24"/>
        </w:rPr>
        <w:tab/>
      </w:r>
      <w:r>
        <w:rPr>
          <w:rFonts w:ascii="Times New Roman CYR" w:hAnsi="Times New Roman CYR" w:cs="Times New Roman CYR"/>
          <w:sz w:val="24"/>
          <w:szCs w:val="24"/>
        </w:rPr>
        <w:tab/>
        <w:t>111 158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Iншi операцiйнi витрати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Сумнiвнi та безнадiйнi борги (нарахований резерв та списання безнадiйної заборгованостi)</w:t>
      </w:r>
      <w:r>
        <w:rPr>
          <w:rFonts w:ascii="Times New Roman CYR" w:hAnsi="Times New Roman CYR" w:cs="Times New Roman CYR"/>
          <w:sz w:val="24"/>
          <w:szCs w:val="24"/>
        </w:rPr>
        <w:tab/>
        <w:t>4 369</w:t>
      </w:r>
      <w:r>
        <w:rPr>
          <w:rFonts w:ascii="Times New Roman CYR" w:hAnsi="Times New Roman CYR" w:cs="Times New Roman CYR"/>
          <w:sz w:val="24"/>
          <w:szCs w:val="24"/>
        </w:rPr>
        <w:tab/>
      </w:r>
      <w:r>
        <w:rPr>
          <w:rFonts w:ascii="Times New Roman CYR" w:hAnsi="Times New Roman CYR" w:cs="Times New Roman CYR"/>
          <w:sz w:val="24"/>
          <w:szCs w:val="24"/>
        </w:rPr>
        <w:tab/>
        <w:t>242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Амортизацiя переданих в оренду основних засобiв</w:t>
      </w:r>
      <w:r>
        <w:rPr>
          <w:rFonts w:ascii="Times New Roman CYR" w:hAnsi="Times New Roman CYR" w:cs="Times New Roman CYR"/>
          <w:sz w:val="24"/>
          <w:szCs w:val="24"/>
        </w:rPr>
        <w:tab/>
        <w:t>145</w:t>
      </w:r>
      <w:r>
        <w:rPr>
          <w:rFonts w:ascii="Times New Roman CYR" w:hAnsi="Times New Roman CYR" w:cs="Times New Roman CYR"/>
          <w:sz w:val="24"/>
          <w:szCs w:val="24"/>
        </w:rPr>
        <w:tab/>
      </w:r>
      <w:r>
        <w:rPr>
          <w:rFonts w:ascii="Times New Roman CYR" w:hAnsi="Times New Roman CYR" w:cs="Times New Roman CYR"/>
          <w:sz w:val="24"/>
          <w:szCs w:val="24"/>
        </w:rPr>
        <w:tab/>
        <w:t>113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 та пенi сплаченi</w:t>
      </w:r>
      <w:r>
        <w:rPr>
          <w:rFonts w:ascii="Times New Roman CYR" w:hAnsi="Times New Roman CYR" w:cs="Times New Roman CYR"/>
          <w:sz w:val="24"/>
          <w:szCs w:val="24"/>
        </w:rPr>
        <w:tab/>
        <w:t>101</w:t>
      </w:r>
      <w:r>
        <w:rPr>
          <w:rFonts w:ascii="Times New Roman CYR" w:hAnsi="Times New Roman CYR" w:cs="Times New Roman CYR"/>
          <w:sz w:val="24"/>
          <w:szCs w:val="24"/>
        </w:rPr>
        <w:tab/>
      </w:r>
      <w:r>
        <w:rPr>
          <w:rFonts w:ascii="Times New Roman CYR" w:hAnsi="Times New Roman CYR" w:cs="Times New Roman CYR"/>
          <w:sz w:val="24"/>
          <w:szCs w:val="24"/>
        </w:rPr>
        <w:tab/>
        <w:t>672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врегулювання претензiй</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3 350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w:t>
      </w:r>
      <w:r>
        <w:rPr>
          <w:rFonts w:ascii="Times New Roman CYR" w:hAnsi="Times New Roman CYR" w:cs="Times New Roman CYR"/>
          <w:sz w:val="24"/>
          <w:szCs w:val="24"/>
        </w:rPr>
        <w:tab/>
        <w:t xml:space="preserve">1 449 </w:t>
      </w:r>
      <w:r>
        <w:rPr>
          <w:rFonts w:ascii="Times New Roman CYR" w:hAnsi="Times New Roman CYR" w:cs="Times New Roman CYR"/>
          <w:sz w:val="24"/>
          <w:szCs w:val="24"/>
        </w:rPr>
        <w:tab/>
      </w:r>
      <w:r>
        <w:rPr>
          <w:rFonts w:ascii="Times New Roman CYR" w:hAnsi="Times New Roman CYR" w:cs="Times New Roman CYR"/>
          <w:sz w:val="24"/>
          <w:szCs w:val="24"/>
        </w:rPr>
        <w:tab/>
        <w:t>263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6 064</w:t>
      </w:r>
      <w:r>
        <w:rPr>
          <w:rFonts w:ascii="Times New Roman CYR" w:hAnsi="Times New Roman CYR" w:cs="Times New Roman CYR"/>
          <w:sz w:val="24"/>
          <w:szCs w:val="24"/>
        </w:rPr>
        <w:tab/>
      </w:r>
      <w:r>
        <w:rPr>
          <w:rFonts w:ascii="Times New Roman CYR" w:hAnsi="Times New Roman CYR" w:cs="Times New Roman CYR"/>
          <w:sz w:val="24"/>
          <w:szCs w:val="24"/>
        </w:rPr>
        <w:tab/>
        <w:t>4 640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Товариство сторнувало резерв врегулювання претензiй на суму 3 350 тисяч гривень. Дохiд вiд сторнування резерву вiдображено у iнших операцiйних доходах (Примiтка 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Фiнансовi витрати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виплату вiдсоткiв по банкiвських кредитах</w:t>
      </w:r>
      <w:r>
        <w:rPr>
          <w:rFonts w:ascii="Times New Roman CYR" w:hAnsi="Times New Roman CYR" w:cs="Times New Roman CYR"/>
          <w:sz w:val="24"/>
          <w:szCs w:val="24"/>
        </w:rPr>
        <w:tab/>
      </w:r>
      <w:r>
        <w:rPr>
          <w:rFonts w:ascii="Times New Roman CYR" w:hAnsi="Times New Roman CYR" w:cs="Times New Roman CYR"/>
          <w:sz w:val="24"/>
          <w:szCs w:val="24"/>
        </w:rPr>
        <w:tab/>
        <w:t>81 260</w:t>
      </w:r>
      <w:r>
        <w:rPr>
          <w:rFonts w:ascii="Times New Roman CYR" w:hAnsi="Times New Roman CYR" w:cs="Times New Roman CYR"/>
          <w:sz w:val="24"/>
          <w:szCs w:val="24"/>
        </w:rPr>
        <w:tab/>
      </w:r>
      <w:r>
        <w:rPr>
          <w:rFonts w:ascii="Times New Roman CYR" w:hAnsi="Times New Roman CYR" w:cs="Times New Roman CYR"/>
          <w:sz w:val="24"/>
          <w:szCs w:val="24"/>
        </w:rPr>
        <w:tab/>
        <w:t>57 698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платежi по гарантiям та комiсiї</w:t>
      </w:r>
      <w:r>
        <w:rPr>
          <w:rFonts w:ascii="Times New Roman CYR" w:hAnsi="Times New Roman CYR" w:cs="Times New Roman CYR"/>
          <w:sz w:val="24"/>
          <w:szCs w:val="24"/>
        </w:rPr>
        <w:tab/>
      </w:r>
      <w:r>
        <w:rPr>
          <w:rFonts w:ascii="Times New Roman CYR" w:hAnsi="Times New Roman CYR" w:cs="Times New Roman CYR"/>
          <w:sz w:val="24"/>
          <w:szCs w:val="24"/>
        </w:rPr>
        <w:tab/>
        <w:t>5 867</w:t>
      </w:r>
      <w:r>
        <w:rPr>
          <w:rFonts w:ascii="Times New Roman CYR" w:hAnsi="Times New Roman CYR" w:cs="Times New Roman CYR"/>
          <w:sz w:val="24"/>
          <w:szCs w:val="24"/>
        </w:rPr>
        <w:tab/>
      </w:r>
      <w:r>
        <w:rPr>
          <w:rFonts w:ascii="Times New Roman CYR" w:hAnsi="Times New Roman CYR" w:cs="Times New Roman CYR"/>
          <w:sz w:val="24"/>
          <w:szCs w:val="24"/>
        </w:rPr>
        <w:tab/>
        <w:t>5 404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Фiнансовi витрати з орендних зобов"язань</w:t>
      </w:r>
      <w:r>
        <w:rPr>
          <w:rFonts w:ascii="Times New Roman CYR" w:hAnsi="Times New Roman CYR" w:cs="Times New Roman CYR"/>
          <w:sz w:val="24"/>
          <w:szCs w:val="24"/>
        </w:rPr>
        <w:tab/>
      </w:r>
      <w:r>
        <w:rPr>
          <w:rFonts w:ascii="Times New Roman CYR" w:hAnsi="Times New Roman CYR" w:cs="Times New Roman CYR"/>
          <w:sz w:val="24"/>
          <w:szCs w:val="24"/>
        </w:rPr>
        <w:tab/>
        <w:t>723</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Вiдсотки по актуарному розрахунку довгострокової пенсiйної програми</w:t>
      </w:r>
      <w:r>
        <w:rPr>
          <w:rFonts w:ascii="Times New Roman CYR" w:hAnsi="Times New Roman CYR" w:cs="Times New Roman CYR"/>
          <w:sz w:val="24"/>
          <w:szCs w:val="24"/>
        </w:rPr>
        <w:tab/>
      </w:r>
      <w:r>
        <w:rPr>
          <w:rFonts w:ascii="Times New Roman CYR" w:hAnsi="Times New Roman CYR" w:cs="Times New Roman CYR"/>
          <w:sz w:val="24"/>
          <w:szCs w:val="24"/>
        </w:rPr>
        <w:tab/>
        <w:t>478</w:t>
      </w:r>
      <w:r>
        <w:rPr>
          <w:rFonts w:ascii="Times New Roman CYR" w:hAnsi="Times New Roman CYR" w:cs="Times New Roman CYR"/>
          <w:sz w:val="24"/>
          <w:szCs w:val="24"/>
        </w:rPr>
        <w:tab/>
      </w:r>
      <w:r>
        <w:rPr>
          <w:rFonts w:ascii="Times New Roman CYR" w:hAnsi="Times New Roman CYR" w:cs="Times New Roman CYR"/>
          <w:sz w:val="24"/>
          <w:szCs w:val="24"/>
        </w:rPr>
        <w:tab/>
        <w:t>414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виплату вiдсоткiв по кредитах, отриманих вiд пов'язаних сторiн</w:t>
      </w:r>
      <w:r>
        <w:rPr>
          <w:rFonts w:ascii="Times New Roman CYR" w:hAnsi="Times New Roman CYR" w:cs="Times New Roman CYR"/>
          <w:sz w:val="24"/>
          <w:szCs w:val="24"/>
        </w:rPr>
        <w:tab/>
      </w:r>
      <w:r>
        <w:rPr>
          <w:rFonts w:ascii="Times New Roman CYR" w:hAnsi="Times New Roman CYR" w:cs="Times New Roman CYR"/>
          <w:sz w:val="24"/>
          <w:szCs w:val="24"/>
        </w:rPr>
        <w:tab/>
        <w:t>45</w:t>
      </w:r>
      <w:r>
        <w:rPr>
          <w:rFonts w:ascii="Times New Roman CYR" w:hAnsi="Times New Roman CYR" w:cs="Times New Roman CYR"/>
          <w:sz w:val="24"/>
          <w:szCs w:val="24"/>
        </w:rPr>
        <w:tab/>
      </w:r>
      <w:r>
        <w:rPr>
          <w:rFonts w:ascii="Times New Roman CYR" w:hAnsi="Times New Roman CYR" w:cs="Times New Roman CYR"/>
          <w:sz w:val="24"/>
          <w:szCs w:val="24"/>
        </w:rPr>
        <w:tab/>
        <w:t>456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88 373</w:t>
      </w:r>
      <w:r>
        <w:rPr>
          <w:rFonts w:ascii="Times New Roman CYR" w:hAnsi="Times New Roman CYR" w:cs="Times New Roman CYR"/>
          <w:sz w:val="24"/>
          <w:szCs w:val="24"/>
        </w:rPr>
        <w:tab/>
      </w:r>
      <w:r>
        <w:rPr>
          <w:rFonts w:ascii="Times New Roman CYR" w:hAnsi="Times New Roman CYR" w:cs="Times New Roman CYR"/>
          <w:sz w:val="24"/>
          <w:szCs w:val="24"/>
        </w:rPr>
        <w:tab/>
        <w:t>63 972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Витрати на персонал</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персонал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Заробiтна плата</w:t>
      </w:r>
      <w:r>
        <w:rPr>
          <w:rFonts w:ascii="Times New Roman CYR" w:hAnsi="Times New Roman CYR" w:cs="Times New Roman CYR"/>
          <w:sz w:val="24"/>
          <w:szCs w:val="24"/>
        </w:rPr>
        <w:tab/>
      </w:r>
      <w:r>
        <w:rPr>
          <w:rFonts w:ascii="Times New Roman CYR" w:hAnsi="Times New Roman CYR" w:cs="Times New Roman CYR"/>
          <w:sz w:val="24"/>
          <w:szCs w:val="24"/>
        </w:rPr>
        <w:tab/>
        <w:t>21 319</w:t>
      </w:r>
      <w:r>
        <w:rPr>
          <w:rFonts w:ascii="Times New Roman CYR" w:hAnsi="Times New Roman CYR" w:cs="Times New Roman CYR"/>
          <w:sz w:val="24"/>
          <w:szCs w:val="24"/>
        </w:rPr>
        <w:tab/>
      </w:r>
      <w:r>
        <w:rPr>
          <w:rFonts w:ascii="Times New Roman CYR" w:hAnsi="Times New Roman CYR" w:cs="Times New Roman CYR"/>
          <w:sz w:val="24"/>
          <w:szCs w:val="24"/>
        </w:rPr>
        <w:tab/>
        <w:t>20 233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Нарахування в фонди соцiального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t>4 727</w:t>
      </w:r>
      <w:r>
        <w:rPr>
          <w:rFonts w:ascii="Times New Roman CYR" w:hAnsi="Times New Roman CYR" w:cs="Times New Roman CYR"/>
          <w:sz w:val="24"/>
          <w:szCs w:val="24"/>
        </w:rPr>
        <w:tab/>
      </w:r>
      <w:r>
        <w:rPr>
          <w:rFonts w:ascii="Times New Roman CYR" w:hAnsi="Times New Roman CYR" w:cs="Times New Roman CYR"/>
          <w:sz w:val="24"/>
          <w:szCs w:val="24"/>
        </w:rPr>
        <w:tab/>
        <w:t>4 421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26 046</w:t>
      </w:r>
      <w:r>
        <w:rPr>
          <w:rFonts w:ascii="Times New Roman CYR" w:hAnsi="Times New Roman CYR" w:cs="Times New Roman CYR"/>
          <w:sz w:val="24"/>
          <w:szCs w:val="24"/>
        </w:rPr>
        <w:tab/>
      </w:r>
      <w:r>
        <w:rPr>
          <w:rFonts w:ascii="Times New Roman CYR" w:hAnsi="Times New Roman CYR" w:cs="Times New Roman CYR"/>
          <w:sz w:val="24"/>
          <w:szCs w:val="24"/>
        </w:rPr>
        <w:tab/>
        <w:t>24 654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Витрати з податку на прибуток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31 грудня 2019 року та 2018 року установлена законодавством ставка оподаткування Товариства становить 18%.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поточного податку</w:t>
      </w:r>
      <w:r>
        <w:rPr>
          <w:rFonts w:ascii="Times New Roman CYR" w:hAnsi="Times New Roman CYR" w:cs="Times New Roman CYR"/>
          <w:sz w:val="24"/>
          <w:szCs w:val="24"/>
        </w:rPr>
        <w:tab/>
        <w:t>24 777</w:t>
      </w:r>
      <w:r>
        <w:rPr>
          <w:rFonts w:ascii="Times New Roman CYR" w:hAnsi="Times New Roman CYR" w:cs="Times New Roman CYR"/>
          <w:sz w:val="24"/>
          <w:szCs w:val="24"/>
        </w:rPr>
        <w:tab/>
        <w:t>23 547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Уточнення податку за 2017 рiк</w:t>
      </w:r>
      <w:r>
        <w:rPr>
          <w:rFonts w:ascii="Times New Roman CYR" w:hAnsi="Times New Roman CYR" w:cs="Times New Roman CYR"/>
          <w:sz w:val="24"/>
          <w:szCs w:val="24"/>
        </w:rPr>
        <w:tab/>
        <w:t>-</w:t>
      </w:r>
      <w:r>
        <w:rPr>
          <w:rFonts w:ascii="Times New Roman CYR" w:hAnsi="Times New Roman CYR" w:cs="Times New Roman CYR"/>
          <w:sz w:val="24"/>
          <w:szCs w:val="24"/>
        </w:rPr>
        <w:tab/>
        <w:t>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(Вигода) витрати з вiдстроченого податку</w:t>
      </w:r>
      <w:r>
        <w:rPr>
          <w:rFonts w:ascii="Times New Roman CYR" w:hAnsi="Times New Roman CYR" w:cs="Times New Roman CYR"/>
          <w:sz w:val="24"/>
          <w:szCs w:val="24"/>
        </w:rPr>
        <w:tab/>
        <w:t>(5 156)</w:t>
      </w:r>
      <w:r>
        <w:rPr>
          <w:rFonts w:ascii="Times New Roman CYR" w:hAnsi="Times New Roman CYR" w:cs="Times New Roman CYR"/>
          <w:sz w:val="24"/>
          <w:szCs w:val="24"/>
        </w:rPr>
        <w:tab/>
        <w:t>345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Усього витрати з податку на прибуток </w:t>
      </w:r>
      <w:r>
        <w:rPr>
          <w:rFonts w:ascii="Times New Roman CYR" w:hAnsi="Times New Roman CYR" w:cs="Times New Roman CYR"/>
          <w:sz w:val="24"/>
          <w:szCs w:val="24"/>
        </w:rPr>
        <w:tab/>
        <w:t>19 621</w:t>
      </w:r>
      <w:r>
        <w:rPr>
          <w:rFonts w:ascii="Times New Roman CYR" w:hAnsi="Times New Roman CYR" w:cs="Times New Roman CYR"/>
          <w:sz w:val="24"/>
          <w:szCs w:val="24"/>
        </w:rPr>
        <w:tab/>
        <w:t>23 897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Узгодження дiючої ставки оподаткування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Рiзниця мiж загальною очiкуваною сумою витрат з податку на прибуток за рiк, що закiнчився 31 грудня, розрахованою iз застосуванням дiючої ставки податку на прибуток до прибутку до оподаткування, i фактичною сумою витрат з податку на прибуток, представлена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 xml:space="preserve">                                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Сума</w:t>
      </w:r>
      <w:r>
        <w:rPr>
          <w:rFonts w:ascii="Times New Roman CYR" w:hAnsi="Times New Roman CYR" w:cs="Times New Roman CYR"/>
          <w:sz w:val="24"/>
          <w:szCs w:val="24"/>
        </w:rPr>
        <w:tab/>
      </w:r>
      <w:r>
        <w:rPr>
          <w:rFonts w:ascii="Times New Roman CYR" w:hAnsi="Times New Roman CYR" w:cs="Times New Roman CYR"/>
          <w:sz w:val="24"/>
          <w:szCs w:val="24"/>
        </w:rPr>
        <w:tab/>
        <w:t>Процент</w:t>
      </w:r>
      <w:r>
        <w:rPr>
          <w:rFonts w:ascii="Times New Roman CYR" w:hAnsi="Times New Roman CYR" w:cs="Times New Roman CYR"/>
          <w:sz w:val="24"/>
          <w:szCs w:val="24"/>
        </w:rPr>
        <w:tab/>
      </w:r>
      <w:r>
        <w:rPr>
          <w:rFonts w:ascii="Times New Roman CYR" w:hAnsi="Times New Roman CYR" w:cs="Times New Roman CYR"/>
          <w:sz w:val="24"/>
          <w:szCs w:val="24"/>
        </w:rPr>
        <w:tab/>
        <w:t xml:space="preserve">  Сума</w:t>
      </w:r>
      <w:r>
        <w:rPr>
          <w:rFonts w:ascii="Times New Roman CYR" w:hAnsi="Times New Roman CYR" w:cs="Times New Roman CYR"/>
          <w:sz w:val="24"/>
          <w:szCs w:val="24"/>
        </w:rPr>
        <w:tab/>
      </w:r>
      <w:r>
        <w:rPr>
          <w:rFonts w:ascii="Times New Roman CYR" w:hAnsi="Times New Roman CYR" w:cs="Times New Roman CYR"/>
          <w:sz w:val="24"/>
          <w:szCs w:val="24"/>
        </w:rPr>
        <w:tab/>
        <w:t>Процент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до оподаткування</w:t>
      </w:r>
      <w:r>
        <w:rPr>
          <w:rFonts w:ascii="Times New Roman CYR" w:hAnsi="Times New Roman CYR" w:cs="Times New Roman CYR"/>
          <w:sz w:val="24"/>
          <w:szCs w:val="24"/>
        </w:rPr>
        <w:tab/>
        <w:t>89 772</w:t>
      </w:r>
      <w:r>
        <w:rPr>
          <w:rFonts w:ascii="Times New Roman CYR" w:hAnsi="Times New Roman CYR" w:cs="Times New Roman CYR"/>
          <w:sz w:val="24"/>
          <w:szCs w:val="24"/>
        </w:rPr>
        <w:tab/>
      </w:r>
      <w:r>
        <w:rPr>
          <w:rFonts w:ascii="Times New Roman CYR" w:hAnsi="Times New Roman CYR" w:cs="Times New Roman CYR"/>
          <w:sz w:val="24"/>
          <w:szCs w:val="24"/>
        </w:rPr>
        <w:tab/>
        <w:t>100%</w:t>
      </w:r>
      <w:r>
        <w:rPr>
          <w:rFonts w:ascii="Times New Roman CYR" w:hAnsi="Times New Roman CYR" w:cs="Times New Roman CYR"/>
          <w:sz w:val="24"/>
          <w:szCs w:val="24"/>
        </w:rPr>
        <w:tab/>
      </w:r>
      <w:r>
        <w:rPr>
          <w:rFonts w:ascii="Times New Roman CYR" w:hAnsi="Times New Roman CYR" w:cs="Times New Roman CYR"/>
          <w:sz w:val="24"/>
          <w:szCs w:val="24"/>
        </w:rPr>
        <w:tab/>
        <w:t>131 577</w:t>
      </w:r>
      <w:r>
        <w:rPr>
          <w:rFonts w:ascii="Times New Roman CYR" w:hAnsi="Times New Roman CYR" w:cs="Times New Roman CYR"/>
          <w:sz w:val="24"/>
          <w:szCs w:val="24"/>
        </w:rPr>
        <w:tab/>
      </w:r>
      <w:r>
        <w:rPr>
          <w:rFonts w:ascii="Times New Roman CYR" w:hAnsi="Times New Roman CYR" w:cs="Times New Roman CYR"/>
          <w:sz w:val="24"/>
          <w:szCs w:val="24"/>
        </w:rPr>
        <w:tab/>
        <w:t>100%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iз застосуванням дiючої ставки</w:t>
      </w:r>
      <w:r>
        <w:rPr>
          <w:rFonts w:ascii="Times New Roman CYR" w:hAnsi="Times New Roman CYR" w:cs="Times New Roman CYR"/>
          <w:sz w:val="24"/>
          <w:szCs w:val="24"/>
        </w:rPr>
        <w:tab/>
        <w:t>16 159</w:t>
      </w:r>
      <w:r>
        <w:rPr>
          <w:rFonts w:ascii="Times New Roman CYR" w:hAnsi="Times New Roman CYR" w:cs="Times New Roman CYR"/>
          <w:sz w:val="24"/>
          <w:szCs w:val="24"/>
        </w:rPr>
        <w:tab/>
      </w:r>
      <w:r>
        <w:rPr>
          <w:rFonts w:ascii="Times New Roman CYR" w:hAnsi="Times New Roman CYR" w:cs="Times New Roman CYR"/>
          <w:sz w:val="24"/>
          <w:szCs w:val="24"/>
        </w:rPr>
        <w:tab/>
        <w:t>18.0%</w:t>
      </w:r>
      <w:r>
        <w:rPr>
          <w:rFonts w:ascii="Times New Roman CYR" w:hAnsi="Times New Roman CYR" w:cs="Times New Roman CYR"/>
          <w:sz w:val="24"/>
          <w:szCs w:val="24"/>
        </w:rPr>
        <w:tab/>
      </w:r>
      <w:r>
        <w:rPr>
          <w:rFonts w:ascii="Times New Roman CYR" w:hAnsi="Times New Roman CYR" w:cs="Times New Roman CYR"/>
          <w:sz w:val="24"/>
          <w:szCs w:val="24"/>
        </w:rPr>
        <w:tab/>
        <w:t>23 684</w:t>
      </w:r>
      <w:r>
        <w:rPr>
          <w:rFonts w:ascii="Times New Roman CYR" w:hAnsi="Times New Roman CYR" w:cs="Times New Roman CYR"/>
          <w:sz w:val="24"/>
          <w:szCs w:val="24"/>
        </w:rPr>
        <w:tab/>
      </w:r>
      <w:r>
        <w:rPr>
          <w:rFonts w:ascii="Times New Roman CYR" w:hAnsi="Times New Roman CYR" w:cs="Times New Roman CYR"/>
          <w:sz w:val="24"/>
          <w:szCs w:val="24"/>
        </w:rPr>
        <w:tab/>
        <w:t>18.0%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нарахування податкiв вiдповiдно до трансферного цiноутворення*</w:t>
      </w:r>
      <w:r>
        <w:rPr>
          <w:rFonts w:ascii="Times New Roman CYR" w:hAnsi="Times New Roman CYR" w:cs="Times New Roman CYR"/>
          <w:sz w:val="24"/>
          <w:szCs w:val="24"/>
        </w:rPr>
        <w:tab/>
        <w:t>2 495</w:t>
      </w:r>
      <w:r>
        <w:rPr>
          <w:rFonts w:ascii="Times New Roman CYR" w:hAnsi="Times New Roman CYR" w:cs="Times New Roman CYR"/>
          <w:sz w:val="24"/>
          <w:szCs w:val="24"/>
        </w:rPr>
        <w:tab/>
      </w:r>
      <w:r>
        <w:rPr>
          <w:rFonts w:ascii="Times New Roman CYR" w:hAnsi="Times New Roman CYR" w:cs="Times New Roman CYR"/>
          <w:sz w:val="24"/>
          <w:szCs w:val="24"/>
        </w:rPr>
        <w:tab/>
        <w:t>2.78%</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що не вiдносяться на оподатковуванi витрати</w:t>
      </w:r>
      <w:r>
        <w:rPr>
          <w:rFonts w:ascii="Times New Roman CYR" w:hAnsi="Times New Roman CYR" w:cs="Times New Roman CYR"/>
          <w:sz w:val="24"/>
          <w:szCs w:val="24"/>
        </w:rPr>
        <w:tab/>
        <w:t>967</w:t>
      </w:r>
      <w:r>
        <w:rPr>
          <w:rFonts w:ascii="Times New Roman CYR" w:hAnsi="Times New Roman CYR" w:cs="Times New Roman CYR"/>
          <w:sz w:val="24"/>
          <w:szCs w:val="24"/>
        </w:rPr>
        <w:tab/>
      </w:r>
      <w:r>
        <w:rPr>
          <w:rFonts w:ascii="Times New Roman CYR" w:hAnsi="Times New Roman CYR" w:cs="Times New Roman CYR"/>
          <w:sz w:val="24"/>
          <w:szCs w:val="24"/>
        </w:rPr>
        <w:tab/>
        <w:t>1.08%</w:t>
      </w:r>
      <w:r>
        <w:rPr>
          <w:rFonts w:ascii="Times New Roman CYR" w:hAnsi="Times New Roman CYR" w:cs="Times New Roman CYR"/>
          <w:sz w:val="24"/>
          <w:szCs w:val="24"/>
        </w:rPr>
        <w:tab/>
      </w:r>
      <w:r>
        <w:rPr>
          <w:rFonts w:ascii="Times New Roman CYR" w:hAnsi="Times New Roman CYR" w:cs="Times New Roman CYR"/>
          <w:sz w:val="24"/>
          <w:szCs w:val="24"/>
        </w:rPr>
        <w:tab/>
        <w:t>213</w:t>
      </w:r>
      <w:r>
        <w:rPr>
          <w:rFonts w:ascii="Times New Roman CYR" w:hAnsi="Times New Roman CYR" w:cs="Times New Roman CYR"/>
          <w:sz w:val="24"/>
          <w:szCs w:val="24"/>
        </w:rPr>
        <w:tab/>
      </w:r>
      <w:r>
        <w:rPr>
          <w:rFonts w:ascii="Times New Roman CYR" w:hAnsi="Times New Roman CYR" w:cs="Times New Roman CYR"/>
          <w:sz w:val="24"/>
          <w:szCs w:val="24"/>
        </w:rPr>
        <w:tab/>
        <w:t>0.2%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з податку на прибуток </w:t>
      </w:r>
      <w:r>
        <w:rPr>
          <w:rFonts w:ascii="Times New Roman CYR" w:hAnsi="Times New Roman CYR" w:cs="Times New Roman CYR"/>
          <w:sz w:val="24"/>
          <w:szCs w:val="24"/>
        </w:rPr>
        <w:tab/>
        <w:t>19 621</w:t>
      </w:r>
      <w:r>
        <w:rPr>
          <w:rFonts w:ascii="Times New Roman CYR" w:hAnsi="Times New Roman CYR" w:cs="Times New Roman CYR"/>
          <w:sz w:val="24"/>
          <w:szCs w:val="24"/>
        </w:rPr>
        <w:tab/>
      </w:r>
      <w:r>
        <w:rPr>
          <w:rFonts w:ascii="Times New Roman CYR" w:hAnsi="Times New Roman CYR" w:cs="Times New Roman CYR"/>
          <w:sz w:val="24"/>
          <w:szCs w:val="24"/>
        </w:rPr>
        <w:tab/>
        <w:t>21.9%</w:t>
      </w:r>
      <w:r>
        <w:rPr>
          <w:rFonts w:ascii="Times New Roman CYR" w:hAnsi="Times New Roman CYR" w:cs="Times New Roman CYR"/>
          <w:sz w:val="24"/>
          <w:szCs w:val="24"/>
        </w:rPr>
        <w:tab/>
      </w:r>
      <w:r>
        <w:rPr>
          <w:rFonts w:ascii="Times New Roman CYR" w:hAnsi="Times New Roman CYR" w:cs="Times New Roman CYR"/>
          <w:sz w:val="24"/>
          <w:szCs w:val="24"/>
        </w:rPr>
        <w:tab/>
        <w:t>23 897</w:t>
      </w:r>
      <w:r>
        <w:rPr>
          <w:rFonts w:ascii="Times New Roman CYR" w:hAnsi="Times New Roman CYR" w:cs="Times New Roman CYR"/>
          <w:sz w:val="24"/>
          <w:szCs w:val="24"/>
        </w:rPr>
        <w:tab/>
      </w:r>
      <w:r>
        <w:rPr>
          <w:rFonts w:ascii="Times New Roman CYR" w:hAnsi="Times New Roman CYR" w:cs="Times New Roman CYR"/>
          <w:sz w:val="24"/>
          <w:szCs w:val="24"/>
        </w:rPr>
        <w:tab/>
        <w:t>18.2%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протягом року, що закiнчився 31 грудня 2019 року Товариство донарахувало суму контрольованих операцiй у сумi 13 860 тисяч гривень i нарахувало додаткового податку у сумi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2 495 тис. грн.</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 xml:space="preserve">Визнанi вiдстроченi податковi активи та зобов'язання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вiдносяться до таких статей:</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Активи</w:t>
      </w:r>
      <w:r>
        <w:rPr>
          <w:rFonts w:ascii="Times New Roman CYR" w:hAnsi="Times New Roman CYR" w:cs="Times New Roman CYR"/>
          <w:sz w:val="24"/>
          <w:szCs w:val="24"/>
        </w:rPr>
        <w:tab/>
        <w:t>Зобов'язання</w:t>
      </w:r>
      <w:r>
        <w:rPr>
          <w:rFonts w:ascii="Times New Roman CYR" w:hAnsi="Times New Roman CYR" w:cs="Times New Roman CYR"/>
          <w:sz w:val="24"/>
          <w:szCs w:val="24"/>
        </w:rPr>
        <w:tab/>
        <w:t>Чиста сума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t>31 грудня 2018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(570)</w:t>
      </w:r>
      <w:r>
        <w:rPr>
          <w:rFonts w:ascii="Times New Roman CYR" w:hAnsi="Times New Roman CYR" w:cs="Times New Roman CYR"/>
          <w:sz w:val="24"/>
          <w:szCs w:val="24"/>
        </w:rPr>
        <w:tab/>
        <w:t>(662)</w:t>
      </w:r>
      <w:r>
        <w:rPr>
          <w:rFonts w:ascii="Times New Roman CYR" w:hAnsi="Times New Roman CYR" w:cs="Times New Roman CYR"/>
          <w:sz w:val="24"/>
          <w:szCs w:val="24"/>
        </w:rPr>
        <w:tab/>
        <w:t>(570)</w:t>
      </w:r>
      <w:r>
        <w:rPr>
          <w:rFonts w:ascii="Times New Roman CYR" w:hAnsi="Times New Roman CYR" w:cs="Times New Roman CYR"/>
          <w:sz w:val="24"/>
          <w:szCs w:val="24"/>
        </w:rPr>
        <w:tab/>
        <w:t>(662)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w:t>
      </w:r>
      <w:r>
        <w:rPr>
          <w:rFonts w:ascii="Times New Roman CYR" w:hAnsi="Times New Roman CYR" w:cs="Times New Roman CYR"/>
          <w:sz w:val="24"/>
          <w:szCs w:val="24"/>
        </w:rPr>
        <w:tab/>
        <w:t>612</w:t>
      </w:r>
      <w:r>
        <w:rPr>
          <w:rFonts w:ascii="Times New Roman CYR" w:hAnsi="Times New Roman CYR" w:cs="Times New Roman CYR"/>
          <w:sz w:val="24"/>
          <w:szCs w:val="24"/>
        </w:rPr>
        <w:tab/>
        <w:t>2 006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612</w:t>
      </w:r>
      <w:r>
        <w:rPr>
          <w:rFonts w:ascii="Times New Roman CYR" w:hAnsi="Times New Roman CYR" w:cs="Times New Roman CYR"/>
          <w:sz w:val="24"/>
          <w:szCs w:val="24"/>
        </w:rPr>
        <w:tab/>
        <w:t>2 006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роботи i послуги</w:t>
      </w:r>
      <w:r>
        <w:rPr>
          <w:rFonts w:ascii="Times New Roman CYR" w:hAnsi="Times New Roman CYR" w:cs="Times New Roman CYR"/>
          <w:sz w:val="24"/>
          <w:szCs w:val="24"/>
        </w:rPr>
        <w:tab/>
        <w:t>6 458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6 458</w:t>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(зобов'язання)</w:t>
      </w:r>
      <w:r>
        <w:rPr>
          <w:rFonts w:ascii="Times New Roman CYR" w:hAnsi="Times New Roman CYR" w:cs="Times New Roman CYR"/>
          <w:sz w:val="24"/>
          <w:szCs w:val="24"/>
        </w:rPr>
        <w:tab/>
        <w:t>7 070</w:t>
      </w:r>
      <w:r>
        <w:rPr>
          <w:rFonts w:ascii="Times New Roman CYR" w:hAnsi="Times New Roman CYR" w:cs="Times New Roman CYR"/>
          <w:sz w:val="24"/>
          <w:szCs w:val="24"/>
        </w:rPr>
        <w:tab/>
        <w:t>2 006</w:t>
      </w:r>
      <w:r>
        <w:rPr>
          <w:rFonts w:ascii="Times New Roman CYR" w:hAnsi="Times New Roman CYR" w:cs="Times New Roman CYR"/>
          <w:sz w:val="24"/>
          <w:szCs w:val="24"/>
        </w:rPr>
        <w:tab/>
        <w:t>(570)</w:t>
      </w:r>
      <w:r>
        <w:rPr>
          <w:rFonts w:ascii="Times New Roman CYR" w:hAnsi="Times New Roman CYR" w:cs="Times New Roman CYR"/>
          <w:sz w:val="24"/>
          <w:szCs w:val="24"/>
        </w:rPr>
        <w:tab/>
        <w:t>(662)</w:t>
      </w:r>
      <w:r>
        <w:rPr>
          <w:rFonts w:ascii="Times New Roman CYR" w:hAnsi="Times New Roman CYR" w:cs="Times New Roman CYR"/>
          <w:sz w:val="24"/>
          <w:szCs w:val="24"/>
        </w:rPr>
        <w:tab/>
        <w:t>6 500</w:t>
      </w:r>
      <w:r>
        <w:rPr>
          <w:rFonts w:ascii="Times New Roman CYR" w:hAnsi="Times New Roman CYR" w:cs="Times New Roman CYR"/>
          <w:sz w:val="24"/>
          <w:szCs w:val="24"/>
        </w:rPr>
        <w:tab/>
        <w:t>1 344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вiдстроченого податку за рiк визнана у прибутках та збитках.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Основнi засоби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Рух основних засобiв та незавершених капiтальних iнвестицiй за рiк, що закiнчився 31 грудня 2019 р., представлений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Земельнi дiлянки</w:t>
      </w:r>
      <w:r>
        <w:rPr>
          <w:rFonts w:ascii="Times New Roman CYR" w:hAnsi="Times New Roman CYR" w:cs="Times New Roman CYR"/>
          <w:sz w:val="24"/>
          <w:szCs w:val="24"/>
        </w:rPr>
        <w:tab/>
        <w:t>Будiвлi i споруди</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 xml:space="preserve">Транспортнi засоби </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з правом використання</w:t>
      </w:r>
      <w:r>
        <w:rPr>
          <w:rFonts w:ascii="Times New Roman CYR" w:hAnsi="Times New Roman CYR" w:cs="Times New Roman CYR"/>
          <w:sz w:val="24"/>
          <w:szCs w:val="24"/>
        </w:rPr>
        <w:tab/>
        <w:t>Незавершенi капiтальнi iнвестицiї</w:t>
      </w:r>
      <w:r>
        <w:rPr>
          <w:rFonts w:ascii="Times New Roman CYR" w:hAnsi="Times New Roman CYR" w:cs="Times New Roman CYR"/>
          <w:sz w:val="24"/>
          <w:szCs w:val="24"/>
        </w:rPr>
        <w:tab/>
        <w:t>Усього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774</w:t>
      </w:r>
      <w:r>
        <w:rPr>
          <w:rFonts w:ascii="Times New Roman CYR" w:hAnsi="Times New Roman CYR" w:cs="Times New Roman CYR"/>
          <w:sz w:val="24"/>
          <w:szCs w:val="24"/>
        </w:rPr>
        <w:tab/>
        <w:t>163 261</w:t>
      </w:r>
      <w:r>
        <w:rPr>
          <w:rFonts w:ascii="Times New Roman CYR" w:hAnsi="Times New Roman CYR" w:cs="Times New Roman CYR"/>
          <w:sz w:val="24"/>
          <w:szCs w:val="24"/>
        </w:rPr>
        <w:tab/>
        <w:t>161 173</w:t>
      </w:r>
      <w:r>
        <w:rPr>
          <w:rFonts w:ascii="Times New Roman CYR" w:hAnsi="Times New Roman CYR" w:cs="Times New Roman CYR"/>
          <w:sz w:val="24"/>
          <w:szCs w:val="24"/>
        </w:rPr>
        <w:tab/>
        <w:t>3 323</w:t>
      </w:r>
      <w:r>
        <w:rPr>
          <w:rFonts w:ascii="Times New Roman CYR" w:hAnsi="Times New Roman CYR" w:cs="Times New Roman CYR"/>
          <w:sz w:val="24"/>
          <w:szCs w:val="24"/>
        </w:rPr>
        <w:tab/>
        <w:t>5 294</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2 880</w:t>
      </w:r>
      <w:r>
        <w:rPr>
          <w:rFonts w:ascii="Times New Roman CYR" w:hAnsi="Times New Roman CYR" w:cs="Times New Roman CYR"/>
          <w:sz w:val="24"/>
          <w:szCs w:val="24"/>
        </w:rPr>
        <w:tab/>
        <w:t>336 705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 застосування МСФЗ 16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16 582</w:t>
      </w:r>
      <w:r>
        <w:rPr>
          <w:rFonts w:ascii="Times New Roman CYR" w:hAnsi="Times New Roman CYR" w:cs="Times New Roman CYR"/>
          <w:sz w:val="24"/>
          <w:szCs w:val="24"/>
        </w:rPr>
        <w:tab/>
        <w:t>-</w:t>
      </w:r>
      <w:r>
        <w:rPr>
          <w:rFonts w:ascii="Times New Roman CYR" w:hAnsi="Times New Roman CYR" w:cs="Times New Roman CYR"/>
          <w:sz w:val="24"/>
          <w:szCs w:val="24"/>
        </w:rPr>
        <w:tab/>
        <w:t>16 582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1 106</w:t>
      </w:r>
      <w:r>
        <w:rPr>
          <w:rFonts w:ascii="Times New Roman CYR" w:hAnsi="Times New Roman CYR" w:cs="Times New Roman CYR"/>
          <w:sz w:val="24"/>
          <w:szCs w:val="24"/>
        </w:rPr>
        <w:tab/>
        <w:t>-</w:t>
      </w:r>
      <w:r>
        <w:rPr>
          <w:rFonts w:ascii="Times New Roman CYR" w:hAnsi="Times New Roman CYR" w:cs="Times New Roman CYR"/>
          <w:sz w:val="24"/>
          <w:szCs w:val="24"/>
        </w:rPr>
        <w:tab/>
        <w:t>644</w:t>
      </w:r>
      <w:r>
        <w:rPr>
          <w:rFonts w:ascii="Times New Roman CYR" w:hAnsi="Times New Roman CYR" w:cs="Times New Roman CYR"/>
          <w:sz w:val="24"/>
          <w:szCs w:val="24"/>
        </w:rPr>
        <w:tab/>
        <w:t>-</w:t>
      </w:r>
      <w:r>
        <w:rPr>
          <w:rFonts w:ascii="Times New Roman CYR" w:hAnsi="Times New Roman CYR" w:cs="Times New Roman CYR"/>
          <w:sz w:val="24"/>
          <w:szCs w:val="24"/>
        </w:rPr>
        <w:tab/>
        <w:t>20 024</w:t>
      </w:r>
      <w:r>
        <w:rPr>
          <w:rFonts w:ascii="Times New Roman CYR" w:hAnsi="Times New Roman CYR" w:cs="Times New Roman CYR"/>
          <w:sz w:val="24"/>
          <w:szCs w:val="24"/>
        </w:rPr>
        <w:tab/>
        <w:t>21 774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Передачi</w:t>
      </w:r>
      <w:r>
        <w:rPr>
          <w:rFonts w:ascii="Times New Roman CYR" w:hAnsi="Times New Roman CYR" w:cs="Times New Roman CYR"/>
          <w:sz w:val="24"/>
          <w:szCs w:val="24"/>
        </w:rPr>
        <w:tab/>
        <w:t>-</w:t>
      </w:r>
      <w:r>
        <w:rPr>
          <w:rFonts w:ascii="Times New Roman CYR" w:hAnsi="Times New Roman CYR" w:cs="Times New Roman CYR"/>
          <w:sz w:val="24"/>
          <w:szCs w:val="24"/>
        </w:rPr>
        <w:tab/>
        <w:t>10 112</w:t>
      </w:r>
      <w:r>
        <w:rPr>
          <w:rFonts w:ascii="Times New Roman CYR" w:hAnsi="Times New Roman CYR" w:cs="Times New Roman CYR"/>
          <w:sz w:val="24"/>
          <w:szCs w:val="24"/>
        </w:rPr>
        <w:tab/>
        <w:t>11 946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(22 058)</w:t>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(105)</w:t>
      </w:r>
      <w:r>
        <w:rPr>
          <w:rFonts w:ascii="Times New Roman CYR" w:hAnsi="Times New Roman CYR" w:cs="Times New Roman CYR"/>
          <w:sz w:val="24"/>
          <w:szCs w:val="24"/>
        </w:rPr>
        <w:tab/>
        <w:t xml:space="preserve">(358) </w:t>
      </w:r>
      <w:r>
        <w:rPr>
          <w:rFonts w:ascii="Times New Roman CYR" w:hAnsi="Times New Roman CYR" w:cs="Times New Roman CYR"/>
          <w:sz w:val="24"/>
          <w:szCs w:val="24"/>
        </w:rPr>
        <w:tab/>
        <w:t>-</w:t>
      </w:r>
      <w:r>
        <w:rPr>
          <w:rFonts w:ascii="Times New Roman CYR" w:hAnsi="Times New Roman CYR" w:cs="Times New Roman CYR"/>
          <w:sz w:val="24"/>
          <w:szCs w:val="24"/>
        </w:rPr>
        <w:tab/>
        <w:t>(71)</w:t>
      </w:r>
      <w:r>
        <w:rPr>
          <w:rFonts w:ascii="Times New Roman CYR" w:hAnsi="Times New Roman CYR" w:cs="Times New Roman CYR"/>
          <w:sz w:val="24"/>
          <w:szCs w:val="24"/>
        </w:rPr>
        <w:tab/>
        <w:t>(5 730)</w:t>
      </w:r>
      <w:r>
        <w:rPr>
          <w:rFonts w:ascii="Times New Roman CYR" w:hAnsi="Times New Roman CYR" w:cs="Times New Roman CYR"/>
          <w:sz w:val="24"/>
          <w:szCs w:val="24"/>
        </w:rPr>
        <w:tab/>
        <w:t>-</w:t>
      </w:r>
      <w:r>
        <w:rPr>
          <w:rFonts w:ascii="Times New Roman CYR" w:hAnsi="Times New Roman CYR" w:cs="Times New Roman CYR"/>
          <w:sz w:val="24"/>
          <w:szCs w:val="24"/>
        </w:rPr>
        <w:tab/>
        <w:t>(6 264)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2019 р.</w:t>
      </w:r>
      <w:r>
        <w:rPr>
          <w:rFonts w:ascii="Times New Roman CYR" w:hAnsi="Times New Roman CYR" w:cs="Times New Roman CYR"/>
          <w:sz w:val="24"/>
          <w:szCs w:val="24"/>
        </w:rPr>
        <w:tab/>
        <w:t>774</w:t>
      </w:r>
      <w:r>
        <w:rPr>
          <w:rFonts w:ascii="Times New Roman CYR" w:hAnsi="Times New Roman CYR" w:cs="Times New Roman CYR"/>
          <w:sz w:val="24"/>
          <w:szCs w:val="24"/>
        </w:rPr>
        <w:tab/>
        <w:t>173 268</w:t>
      </w:r>
      <w:r>
        <w:rPr>
          <w:rFonts w:ascii="Times New Roman CYR" w:hAnsi="Times New Roman CYR" w:cs="Times New Roman CYR"/>
          <w:sz w:val="24"/>
          <w:szCs w:val="24"/>
        </w:rPr>
        <w:tab/>
        <w:t>173 867</w:t>
      </w:r>
      <w:r>
        <w:rPr>
          <w:rFonts w:ascii="Times New Roman CYR" w:hAnsi="Times New Roman CYR" w:cs="Times New Roman CYR"/>
          <w:sz w:val="24"/>
          <w:szCs w:val="24"/>
        </w:rPr>
        <w:tab/>
        <w:t>3 323</w:t>
      </w:r>
      <w:r>
        <w:rPr>
          <w:rFonts w:ascii="Times New Roman CYR" w:hAnsi="Times New Roman CYR" w:cs="Times New Roman CYR"/>
          <w:sz w:val="24"/>
          <w:szCs w:val="24"/>
        </w:rPr>
        <w:tab/>
        <w:t xml:space="preserve">5 867 </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10 852</w:t>
      </w:r>
      <w:r>
        <w:rPr>
          <w:rFonts w:ascii="Times New Roman CYR" w:hAnsi="Times New Roman CYR" w:cs="Times New Roman CYR"/>
          <w:sz w:val="24"/>
          <w:szCs w:val="24"/>
        </w:rPr>
        <w:tab/>
        <w:t>846</w:t>
      </w:r>
      <w:r>
        <w:rPr>
          <w:rFonts w:ascii="Times New Roman CYR" w:hAnsi="Times New Roman CYR" w:cs="Times New Roman CYR"/>
          <w:sz w:val="24"/>
          <w:szCs w:val="24"/>
        </w:rPr>
        <w:tab/>
        <w:t>368 797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Знос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w:t>
      </w:r>
      <w:r>
        <w:rPr>
          <w:rFonts w:ascii="Times New Roman CYR" w:hAnsi="Times New Roman CYR" w:cs="Times New Roman CYR"/>
          <w:sz w:val="24"/>
          <w:szCs w:val="24"/>
        </w:rPr>
        <w:tab/>
        <w:t>60 460</w:t>
      </w:r>
      <w:r>
        <w:rPr>
          <w:rFonts w:ascii="Times New Roman CYR" w:hAnsi="Times New Roman CYR" w:cs="Times New Roman CYR"/>
          <w:sz w:val="24"/>
          <w:szCs w:val="24"/>
        </w:rPr>
        <w:tab/>
        <w:t>91 071</w:t>
      </w:r>
      <w:r>
        <w:rPr>
          <w:rFonts w:ascii="Times New Roman CYR" w:hAnsi="Times New Roman CYR" w:cs="Times New Roman CYR"/>
          <w:sz w:val="24"/>
          <w:szCs w:val="24"/>
        </w:rPr>
        <w:tab/>
        <w:t>2 046</w:t>
      </w:r>
      <w:r>
        <w:rPr>
          <w:rFonts w:ascii="Times New Roman CYR" w:hAnsi="Times New Roman CYR" w:cs="Times New Roman CYR"/>
          <w:sz w:val="24"/>
          <w:szCs w:val="24"/>
        </w:rPr>
        <w:tab/>
        <w:t>4 079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157 656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Нарахований знос </w:t>
      </w:r>
      <w:r>
        <w:rPr>
          <w:rFonts w:ascii="Times New Roman CYR" w:hAnsi="Times New Roman CYR" w:cs="Times New Roman CYR"/>
          <w:sz w:val="24"/>
          <w:szCs w:val="24"/>
        </w:rPr>
        <w:tab/>
        <w:t>-</w:t>
      </w:r>
      <w:r>
        <w:rPr>
          <w:rFonts w:ascii="Times New Roman CYR" w:hAnsi="Times New Roman CYR" w:cs="Times New Roman CYR"/>
          <w:sz w:val="24"/>
          <w:szCs w:val="24"/>
        </w:rPr>
        <w:tab/>
        <w:t>7 321</w:t>
      </w:r>
      <w:r>
        <w:rPr>
          <w:rFonts w:ascii="Times New Roman CYR" w:hAnsi="Times New Roman CYR" w:cs="Times New Roman CYR"/>
          <w:sz w:val="24"/>
          <w:szCs w:val="24"/>
        </w:rPr>
        <w:tab/>
        <w:t>9 734</w:t>
      </w:r>
      <w:r>
        <w:rPr>
          <w:rFonts w:ascii="Times New Roman CYR" w:hAnsi="Times New Roman CYR" w:cs="Times New Roman CYR"/>
          <w:sz w:val="24"/>
          <w:szCs w:val="24"/>
        </w:rPr>
        <w:tab/>
        <w:t>454</w:t>
      </w:r>
      <w:r>
        <w:rPr>
          <w:rFonts w:ascii="Times New Roman CYR" w:hAnsi="Times New Roman CYR" w:cs="Times New Roman CYR"/>
          <w:sz w:val="24"/>
          <w:szCs w:val="24"/>
        </w:rPr>
        <w:tab/>
        <w:t>687</w:t>
      </w:r>
      <w:r>
        <w:rPr>
          <w:rFonts w:ascii="Times New Roman CYR" w:hAnsi="Times New Roman CYR" w:cs="Times New Roman CYR"/>
          <w:sz w:val="24"/>
          <w:szCs w:val="24"/>
        </w:rPr>
        <w:tab/>
        <w:t>4 866</w:t>
      </w:r>
      <w:r>
        <w:rPr>
          <w:rFonts w:ascii="Times New Roman CYR" w:hAnsi="Times New Roman CYR" w:cs="Times New Roman CYR"/>
          <w:sz w:val="24"/>
          <w:szCs w:val="24"/>
        </w:rPr>
        <w:tab/>
        <w:t>-</w:t>
      </w:r>
      <w:r>
        <w:rPr>
          <w:rFonts w:ascii="Times New Roman CYR" w:hAnsi="Times New Roman CYR" w:cs="Times New Roman CYR"/>
          <w:sz w:val="24"/>
          <w:szCs w:val="24"/>
        </w:rPr>
        <w:tab/>
        <w:t>23 062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(95)</w:t>
      </w:r>
      <w:r>
        <w:rPr>
          <w:rFonts w:ascii="Times New Roman CYR" w:hAnsi="Times New Roman CYR" w:cs="Times New Roman CYR"/>
          <w:sz w:val="24"/>
          <w:szCs w:val="24"/>
        </w:rPr>
        <w:tab/>
        <w:t>(226)</w:t>
      </w:r>
      <w:r>
        <w:rPr>
          <w:rFonts w:ascii="Times New Roman CYR" w:hAnsi="Times New Roman CYR" w:cs="Times New Roman CYR"/>
          <w:sz w:val="24"/>
          <w:szCs w:val="24"/>
        </w:rPr>
        <w:tab/>
        <w:t>-</w:t>
      </w:r>
      <w:r>
        <w:rPr>
          <w:rFonts w:ascii="Times New Roman CYR" w:hAnsi="Times New Roman CYR" w:cs="Times New Roman CYR"/>
          <w:sz w:val="24"/>
          <w:szCs w:val="24"/>
        </w:rPr>
        <w:tab/>
        <w:t>(71)</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(392)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2019 р.</w:t>
      </w:r>
      <w:r>
        <w:rPr>
          <w:rFonts w:ascii="Times New Roman CYR" w:hAnsi="Times New Roman CYR" w:cs="Times New Roman CYR"/>
          <w:sz w:val="24"/>
          <w:szCs w:val="24"/>
        </w:rPr>
        <w:tab/>
        <w:t>-</w:t>
      </w:r>
      <w:r>
        <w:rPr>
          <w:rFonts w:ascii="Times New Roman CYR" w:hAnsi="Times New Roman CYR" w:cs="Times New Roman CYR"/>
          <w:sz w:val="24"/>
          <w:szCs w:val="24"/>
        </w:rPr>
        <w:tab/>
        <w:t>67 686</w:t>
      </w:r>
      <w:r>
        <w:rPr>
          <w:rFonts w:ascii="Times New Roman CYR" w:hAnsi="Times New Roman CYR" w:cs="Times New Roman CYR"/>
          <w:sz w:val="24"/>
          <w:szCs w:val="24"/>
        </w:rPr>
        <w:tab/>
        <w:t>100 579</w:t>
      </w:r>
      <w:r>
        <w:rPr>
          <w:rFonts w:ascii="Times New Roman CYR" w:hAnsi="Times New Roman CYR" w:cs="Times New Roman CYR"/>
          <w:sz w:val="24"/>
          <w:szCs w:val="24"/>
        </w:rPr>
        <w:tab/>
        <w:t>2 500</w:t>
      </w:r>
      <w:r>
        <w:rPr>
          <w:rFonts w:ascii="Times New Roman CYR" w:hAnsi="Times New Roman CYR" w:cs="Times New Roman CYR"/>
          <w:sz w:val="24"/>
          <w:szCs w:val="24"/>
        </w:rPr>
        <w:tab/>
        <w:t>4 695</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4 866</w:t>
      </w:r>
      <w:r>
        <w:rPr>
          <w:rFonts w:ascii="Times New Roman CYR" w:hAnsi="Times New Roman CYR" w:cs="Times New Roman CYR"/>
          <w:sz w:val="24"/>
          <w:szCs w:val="24"/>
        </w:rPr>
        <w:tab/>
        <w:t>-</w:t>
      </w:r>
      <w:r>
        <w:rPr>
          <w:rFonts w:ascii="Times New Roman CYR" w:hAnsi="Times New Roman CYR" w:cs="Times New Roman CYR"/>
          <w:sz w:val="24"/>
          <w:szCs w:val="24"/>
        </w:rPr>
        <w:tab/>
        <w:t>180 326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774</w:t>
      </w:r>
      <w:r>
        <w:rPr>
          <w:rFonts w:ascii="Times New Roman CYR" w:hAnsi="Times New Roman CYR" w:cs="Times New Roman CYR"/>
          <w:sz w:val="24"/>
          <w:szCs w:val="24"/>
        </w:rPr>
        <w:tab/>
        <w:t>102 801</w:t>
      </w:r>
      <w:r>
        <w:rPr>
          <w:rFonts w:ascii="Times New Roman CYR" w:hAnsi="Times New Roman CYR" w:cs="Times New Roman CYR"/>
          <w:sz w:val="24"/>
          <w:szCs w:val="24"/>
        </w:rPr>
        <w:tab/>
        <w:t>70 102</w:t>
      </w:r>
      <w:r>
        <w:rPr>
          <w:rFonts w:ascii="Times New Roman CYR" w:hAnsi="Times New Roman CYR" w:cs="Times New Roman CYR"/>
          <w:sz w:val="24"/>
          <w:szCs w:val="24"/>
        </w:rPr>
        <w:tab/>
        <w:t>1 277</w:t>
      </w:r>
      <w:r>
        <w:rPr>
          <w:rFonts w:ascii="Times New Roman CYR" w:hAnsi="Times New Roman CYR" w:cs="Times New Roman CYR"/>
          <w:sz w:val="24"/>
          <w:szCs w:val="24"/>
        </w:rPr>
        <w:tab/>
        <w:t>1 215</w:t>
      </w:r>
      <w:r>
        <w:rPr>
          <w:rFonts w:ascii="Times New Roman CYR" w:hAnsi="Times New Roman CYR" w:cs="Times New Roman CYR"/>
          <w:sz w:val="24"/>
          <w:szCs w:val="24"/>
        </w:rPr>
        <w:tab/>
        <w:t>-</w:t>
      </w:r>
      <w:r>
        <w:rPr>
          <w:rFonts w:ascii="Times New Roman CYR" w:hAnsi="Times New Roman CYR" w:cs="Times New Roman CYR"/>
          <w:sz w:val="24"/>
          <w:szCs w:val="24"/>
        </w:rPr>
        <w:tab/>
        <w:t>2 880</w:t>
      </w:r>
      <w:r>
        <w:rPr>
          <w:rFonts w:ascii="Times New Roman CYR" w:hAnsi="Times New Roman CYR" w:cs="Times New Roman CYR"/>
          <w:sz w:val="24"/>
          <w:szCs w:val="24"/>
        </w:rPr>
        <w:tab/>
        <w:t>179 049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2019 р.</w:t>
      </w:r>
      <w:r>
        <w:rPr>
          <w:rFonts w:ascii="Times New Roman CYR" w:hAnsi="Times New Roman CYR" w:cs="Times New Roman CYR"/>
          <w:sz w:val="24"/>
          <w:szCs w:val="24"/>
        </w:rPr>
        <w:tab/>
        <w:t>774</w:t>
      </w:r>
      <w:r>
        <w:rPr>
          <w:rFonts w:ascii="Times New Roman CYR" w:hAnsi="Times New Roman CYR" w:cs="Times New Roman CYR"/>
          <w:sz w:val="24"/>
          <w:szCs w:val="24"/>
        </w:rPr>
        <w:tab/>
        <w:t>105 582</w:t>
      </w:r>
      <w:r>
        <w:rPr>
          <w:rFonts w:ascii="Times New Roman CYR" w:hAnsi="Times New Roman CYR" w:cs="Times New Roman CYR"/>
          <w:sz w:val="24"/>
          <w:szCs w:val="24"/>
        </w:rPr>
        <w:tab/>
        <w:t>73 288</w:t>
      </w:r>
      <w:r>
        <w:rPr>
          <w:rFonts w:ascii="Times New Roman CYR" w:hAnsi="Times New Roman CYR" w:cs="Times New Roman CYR"/>
          <w:sz w:val="24"/>
          <w:szCs w:val="24"/>
        </w:rPr>
        <w:tab/>
        <w:t>823</w:t>
      </w:r>
      <w:r>
        <w:rPr>
          <w:rFonts w:ascii="Times New Roman CYR" w:hAnsi="Times New Roman CYR" w:cs="Times New Roman CYR"/>
          <w:sz w:val="24"/>
          <w:szCs w:val="24"/>
        </w:rPr>
        <w:tab/>
        <w:t>1 172</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5 986</w:t>
      </w:r>
      <w:r>
        <w:rPr>
          <w:rFonts w:ascii="Times New Roman CYR" w:hAnsi="Times New Roman CYR" w:cs="Times New Roman CYR"/>
          <w:sz w:val="24"/>
          <w:szCs w:val="24"/>
        </w:rPr>
        <w:tab/>
        <w:t>846</w:t>
      </w:r>
      <w:r>
        <w:rPr>
          <w:rFonts w:ascii="Times New Roman CYR" w:hAnsi="Times New Roman CYR" w:cs="Times New Roman CYR"/>
          <w:sz w:val="24"/>
          <w:szCs w:val="24"/>
        </w:rPr>
        <w:tab/>
        <w:t>188 471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Рух основних засобiв та незавершених капiтальних iнвестицiй за рiк, що закiнчився 31 грудня 2018 р., представлений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Земельнi дiлянки</w:t>
      </w:r>
      <w:r>
        <w:rPr>
          <w:rFonts w:ascii="Times New Roman CYR" w:hAnsi="Times New Roman CYR" w:cs="Times New Roman CYR"/>
          <w:sz w:val="24"/>
          <w:szCs w:val="24"/>
        </w:rPr>
        <w:tab/>
        <w:t>Будiвлi i споруди</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 xml:space="preserve">Транспортнi засоби </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Незавершенi капiтальнi iнвестицiї</w:t>
      </w:r>
      <w:r>
        <w:rPr>
          <w:rFonts w:ascii="Times New Roman CYR" w:hAnsi="Times New Roman CYR" w:cs="Times New Roman CYR"/>
          <w:sz w:val="24"/>
          <w:szCs w:val="24"/>
        </w:rPr>
        <w:tab/>
        <w:t>Усього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774</w:t>
      </w:r>
      <w:r>
        <w:rPr>
          <w:rFonts w:ascii="Times New Roman CYR" w:hAnsi="Times New Roman CYR" w:cs="Times New Roman CYR"/>
          <w:sz w:val="24"/>
          <w:szCs w:val="24"/>
        </w:rPr>
        <w:tab/>
        <w:t>146 218</w:t>
      </w:r>
      <w:r>
        <w:rPr>
          <w:rFonts w:ascii="Times New Roman CYR" w:hAnsi="Times New Roman CYR" w:cs="Times New Roman CYR"/>
          <w:sz w:val="24"/>
          <w:szCs w:val="24"/>
        </w:rPr>
        <w:tab/>
        <w:t>150 724</w:t>
      </w:r>
      <w:r>
        <w:rPr>
          <w:rFonts w:ascii="Times New Roman CYR" w:hAnsi="Times New Roman CYR" w:cs="Times New Roman CYR"/>
          <w:sz w:val="24"/>
          <w:szCs w:val="24"/>
        </w:rPr>
        <w:tab/>
        <w:t>2 329</w:t>
      </w:r>
      <w:r>
        <w:rPr>
          <w:rFonts w:ascii="Times New Roman CYR" w:hAnsi="Times New Roman CYR" w:cs="Times New Roman CYR"/>
          <w:sz w:val="24"/>
          <w:szCs w:val="24"/>
        </w:rPr>
        <w:tab/>
        <w:t>5 167</w:t>
      </w:r>
      <w:r>
        <w:rPr>
          <w:rFonts w:ascii="Times New Roman CYR" w:hAnsi="Times New Roman CYR" w:cs="Times New Roman CYR"/>
          <w:sz w:val="24"/>
          <w:szCs w:val="24"/>
        </w:rPr>
        <w:tab/>
        <w:t>2 456</w:t>
      </w:r>
      <w:r>
        <w:rPr>
          <w:rFonts w:ascii="Times New Roman CYR" w:hAnsi="Times New Roman CYR" w:cs="Times New Roman CYR"/>
          <w:sz w:val="24"/>
          <w:szCs w:val="24"/>
        </w:rPr>
        <w:tab/>
        <w:t>307 668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Надходження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609</w:t>
      </w:r>
      <w:r>
        <w:rPr>
          <w:rFonts w:ascii="Times New Roman CYR" w:hAnsi="Times New Roman CYR" w:cs="Times New Roman CYR"/>
          <w:sz w:val="24"/>
          <w:szCs w:val="24"/>
        </w:rPr>
        <w:tab/>
        <w:t>1 017</w:t>
      </w:r>
      <w:r>
        <w:rPr>
          <w:rFonts w:ascii="Times New Roman CYR" w:hAnsi="Times New Roman CYR" w:cs="Times New Roman CYR"/>
          <w:sz w:val="24"/>
          <w:szCs w:val="24"/>
        </w:rPr>
        <w:tab/>
        <w:t>355</w:t>
      </w:r>
      <w:r>
        <w:rPr>
          <w:rFonts w:ascii="Times New Roman CYR" w:hAnsi="Times New Roman CYR" w:cs="Times New Roman CYR"/>
          <w:sz w:val="24"/>
          <w:szCs w:val="24"/>
        </w:rPr>
        <w:tab/>
        <w:t>28 152</w:t>
      </w:r>
      <w:r>
        <w:rPr>
          <w:rFonts w:ascii="Times New Roman CYR" w:hAnsi="Times New Roman CYR" w:cs="Times New Roman CYR"/>
          <w:sz w:val="24"/>
          <w:szCs w:val="24"/>
        </w:rPr>
        <w:tab/>
        <w:t>30 133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Передачi</w:t>
      </w:r>
      <w:r>
        <w:rPr>
          <w:rFonts w:ascii="Times New Roman CYR" w:hAnsi="Times New Roman CYR" w:cs="Times New Roman CYR"/>
          <w:sz w:val="24"/>
          <w:szCs w:val="24"/>
        </w:rPr>
        <w:tab/>
        <w:t>-</w:t>
      </w:r>
      <w:r>
        <w:rPr>
          <w:rFonts w:ascii="Times New Roman CYR" w:hAnsi="Times New Roman CYR" w:cs="Times New Roman CYR"/>
          <w:sz w:val="24"/>
          <w:szCs w:val="24"/>
        </w:rPr>
        <w:tab/>
        <w:t>17 089</w:t>
      </w:r>
      <w:r>
        <w:rPr>
          <w:rFonts w:ascii="Times New Roman CYR" w:hAnsi="Times New Roman CYR" w:cs="Times New Roman CYR"/>
          <w:sz w:val="24"/>
          <w:szCs w:val="24"/>
        </w:rPr>
        <w:tab/>
        <w:t>10 639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(27 728)</w:t>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(46)</w:t>
      </w:r>
      <w:r>
        <w:rPr>
          <w:rFonts w:ascii="Times New Roman CYR" w:hAnsi="Times New Roman CYR" w:cs="Times New Roman CYR"/>
          <w:sz w:val="24"/>
          <w:szCs w:val="24"/>
        </w:rPr>
        <w:tab/>
        <w:t xml:space="preserve">(799) </w:t>
      </w:r>
      <w:r>
        <w:rPr>
          <w:rFonts w:ascii="Times New Roman CYR" w:hAnsi="Times New Roman CYR" w:cs="Times New Roman CYR"/>
          <w:sz w:val="24"/>
          <w:szCs w:val="24"/>
        </w:rPr>
        <w:tab/>
        <w:t>(23)</w:t>
      </w:r>
      <w:r>
        <w:rPr>
          <w:rFonts w:ascii="Times New Roman CYR" w:hAnsi="Times New Roman CYR" w:cs="Times New Roman CYR"/>
          <w:sz w:val="24"/>
          <w:szCs w:val="24"/>
        </w:rPr>
        <w:tab/>
        <w:t>(228)</w:t>
      </w:r>
      <w:r>
        <w:rPr>
          <w:rFonts w:ascii="Times New Roman CYR" w:hAnsi="Times New Roman CYR" w:cs="Times New Roman CYR"/>
          <w:sz w:val="24"/>
          <w:szCs w:val="24"/>
        </w:rPr>
        <w:tab/>
        <w:t>-</w:t>
      </w:r>
      <w:r>
        <w:rPr>
          <w:rFonts w:ascii="Times New Roman CYR" w:hAnsi="Times New Roman CYR" w:cs="Times New Roman CYR"/>
          <w:sz w:val="24"/>
          <w:szCs w:val="24"/>
        </w:rPr>
        <w:tab/>
        <w:t>(1 096)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774</w:t>
      </w:r>
      <w:r>
        <w:rPr>
          <w:rFonts w:ascii="Times New Roman CYR" w:hAnsi="Times New Roman CYR" w:cs="Times New Roman CYR"/>
          <w:sz w:val="24"/>
          <w:szCs w:val="24"/>
        </w:rPr>
        <w:tab/>
        <w:t>163 261</w:t>
      </w:r>
      <w:r>
        <w:rPr>
          <w:rFonts w:ascii="Times New Roman CYR" w:hAnsi="Times New Roman CYR" w:cs="Times New Roman CYR"/>
          <w:sz w:val="24"/>
          <w:szCs w:val="24"/>
        </w:rPr>
        <w:tab/>
        <w:t>161 173</w:t>
      </w:r>
      <w:r>
        <w:rPr>
          <w:rFonts w:ascii="Times New Roman CYR" w:hAnsi="Times New Roman CYR" w:cs="Times New Roman CYR"/>
          <w:sz w:val="24"/>
          <w:szCs w:val="24"/>
        </w:rPr>
        <w:tab/>
        <w:t>3 323</w:t>
      </w:r>
      <w:r>
        <w:rPr>
          <w:rFonts w:ascii="Times New Roman CYR" w:hAnsi="Times New Roman CYR" w:cs="Times New Roman CYR"/>
          <w:sz w:val="24"/>
          <w:szCs w:val="24"/>
        </w:rPr>
        <w:tab/>
        <w:t>5 294</w:t>
      </w:r>
      <w:r>
        <w:rPr>
          <w:rFonts w:ascii="Times New Roman CYR" w:hAnsi="Times New Roman CYR" w:cs="Times New Roman CYR"/>
          <w:sz w:val="24"/>
          <w:szCs w:val="24"/>
        </w:rPr>
        <w:tab/>
        <w:t>2 880</w:t>
      </w:r>
      <w:r>
        <w:rPr>
          <w:rFonts w:ascii="Times New Roman CYR" w:hAnsi="Times New Roman CYR" w:cs="Times New Roman CYR"/>
          <w:sz w:val="24"/>
          <w:szCs w:val="24"/>
        </w:rPr>
        <w:tab/>
        <w:t>336 705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Знос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w:t>
      </w:r>
      <w:r>
        <w:rPr>
          <w:rFonts w:ascii="Times New Roman CYR" w:hAnsi="Times New Roman CYR" w:cs="Times New Roman CYR"/>
          <w:sz w:val="24"/>
          <w:szCs w:val="24"/>
        </w:rPr>
        <w:tab/>
        <w:t>53 973</w:t>
      </w:r>
      <w:r>
        <w:rPr>
          <w:rFonts w:ascii="Times New Roman CYR" w:hAnsi="Times New Roman CYR" w:cs="Times New Roman CYR"/>
          <w:sz w:val="24"/>
          <w:szCs w:val="24"/>
        </w:rPr>
        <w:tab/>
        <w:t>82 873</w:t>
      </w:r>
      <w:r>
        <w:rPr>
          <w:rFonts w:ascii="Times New Roman CYR" w:hAnsi="Times New Roman CYR" w:cs="Times New Roman CYR"/>
          <w:sz w:val="24"/>
          <w:szCs w:val="24"/>
        </w:rPr>
        <w:tab/>
        <w:t>1 766</w:t>
      </w:r>
      <w:r>
        <w:rPr>
          <w:rFonts w:ascii="Times New Roman CYR" w:hAnsi="Times New Roman CYR" w:cs="Times New Roman CYR"/>
          <w:sz w:val="24"/>
          <w:szCs w:val="24"/>
        </w:rPr>
        <w:tab/>
        <w:t>3 881</w:t>
      </w:r>
      <w:r>
        <w:rPr>
          <w:rFonts w:ascii="Times New Roman CYR" w:hAnsi="Times New Roman CYR" w:cs="Times New Roman CYR"/>
          <w:sz w:val="24"/>
          <w:szCs w:val="24"/>
        </w:rPr>
        <w:tab/>
        <w:t>-</w:t>
      </w:r>
      <w:r>
        <w:rPr>
          <w:rFonts w:ascii="Times New Roman CYR" w:hAnsi="Times New Roman CYR" w:cs="Times New Roman CYR"/>
          <w:sz w:val="24"/>
          <w:szCs w:val="24"/>
        </w:rPr>
        <w:tab/>
        <w:t>142 493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Нарахований знос </w:t>
      </w:r>
      <w:r>
        <w:rPr>
          <w:rFonts w:ascii="Times New Roman CYR" w:hAnsi="Times New Roman CYR" w:cs="Times New Roman CYR"/>
          <w:sz w:val="24"/>
          <w:szCs w:val="24"/>
        </w:rPr>
        <w:tab/>
        <w:t>-</w:t>
      </w:r>
      <w:r>
        <w:rPr>
          <w:rFonts w:ascii="Times New Roman CYR" w:hAnsi="Times New Roman CYR" w:cs="Times New Roman CYR"/>
          <w:sz w:val="24"/>
          <w:szCs w:val="24"/>
        </w:rPr>
        <w:tab/>
        <w:t>6 533</w:t>
      </w:r>
      <w:r>
        <w:rPr>
          <w:rFonts w:ascii="Times New Roman CYR" w:hAnsi="Times New Roman CYR" w:cs="Times New Roman CYR"/>
          <w:sz w:val="24"/>
          <w:szCs w:val="24"/>
        </w:rPr>
        <w:tab/>
        <w:t>8 922</w:t>
      </w:r>
      <w:r>
        <w:rPr>
          <w:rFonts w:ascii="Times New Roman CYR" w:hAnsi="Times New Roman CYR" w:cs="Times New Roman CYR"/>
          <w:sz w:val="24"/>
          <w:szCs w:val="24"/>
        </w:rPr>
        <w:tab/>
        <w:t>303</w:t>
      </w:r>
      <w:r>
        <w:rPr>
          <w:rFonts w:ascii="Times New Roman CYR" w:hAnsi="Times New Roman CYR" w:cs="Times New Roman CYR"/>
          <w:sz w:val="24"/>
          <w:szCs w:val="24"/>
        </w:rPr>
        <w:tab/>
        <w:t>412</w:t>
      </w:r>
      <w:r>
        <w:rPr>
          <w:rFonts w:ascii="Times New Roman CYR" w:hAnsi="Times New Roman CYR" w:cs="Times New Roman CYR"/>
          <w:sz w:val="24"/>
          <w:szCs w:val="24"/>
        </w:rPr>
        <w:tab/>
        <w:t>-</w:t>
      </w:r>
      <w:r>
        <w:rPr>
          <w:rFonts w:ascii="Times New Roman CYR" w:hAnsi="Times New Roman CYR" w:cs="Times New Roman CYR"/>
          <w:sz w:val="24"/>
          <w:szCs w:val="24"/>
        </w:rPr>
        <w:tab/>
        <w:t>16 169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t>-</w:t>
      </w:r>
      <w:r>
        <w:rPr>
          <w:rFonts w:ascii="Times New Roman CYR" w:hAnsi="Times New Roman CYR" w:cs="Times New Roman CYR"/>
          <w:sz w:val="24"/>
          <w:szCs w:val="24"/>
        </w:rPr>
        <w:tab/>
        <w:t>(46)</w:t>
      </w:r>
      <w:r>
        <w:rPr>
          <w:rFonts w:ascii="Times New Roman CYR" w:hAnsi="Times New Roman CYR" w:cs="Times New Roman CYR"/>
          <w:sz w:val="24"/>
          <w:szCs w:val="24"/>
        </w:rPr>
        <w:tab/>
        <w:t>(724)</w:t>
      </w:r>
      <w:r>
        <w:rPr>
          <w:rFonts w:ascii="Times New Roman CYR" w:hAnsi="Times New Roman CYR" w:cs="Times New Roman CYR"/>
          <w:sz w:val="24"/>
          <w:szCs w:val="24"/>
        </w:rPr>
        <w:tab/>
        <w:t>(23)</w:t>
      </w:r>
      <w:r>
        <w:rPr>
          <w:rFonts w:ascii="Times New Roman CYR" w:hAnsi="Times New Roman CYR" w:cs="Times New Roman CYR"/>
          <w:sz w:val="24"/>
          <w:szCs w:val="24"/>
        </w:rPr>
        <w:tab/>
        <w:t>(214)</w:t>
      </w:r>
      <w:r>
        <w:rPr>
          <w:rFonts w:ascii="Times New Roman CYR" w:hAnsi="Times New Roman CYR" w:cs="Times New Roman CYR"/>
          <w:sz w:val="24"/>
          <w:szCs w:val="24"/>
        </w:rPr>
        <w:tab/>
        <w:t>-</w:t>
      </w:r>
      <w:r>
        <w:rPr>
          <w:rFonts w:ascii="Times New Roman CYR" w:hAnsi="Times New Roman CYR" w:cs="Times New Roman CYR"/>
          <w:sz w:val="24"/>
          <w:szCs w:val="24"/>
        </w:rPr>
        <w:tab/>
        <w:t>(1 007)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w:t>
      </w:r>
      <w:r>
        <w:rPr>
          <w:rFonts w:ascii="Times New Roman CYR" w:hAnsi="Times New Roman CYR" w:cs="Times New Roman CYR"/>
          <w:sz w:val="24"/>
          <w:szCs w:val="24"/>
        </w:rPr>
        <w:tab/>
        <w:t>60 460</w:t>
      </w:r>
      <w:r>
        <w:rPr>
          <w:rFonts w:ascii="Times New Roman CYR" w:hAnsi="Times New Roman CYR" w:cs="Times New Roman CYR"/>
          <w:sz w:val="24"/>
          <w:szCs w:val="24"/>
        </w:rPr>
        <w:tab/>
        <w:t>91 071</w:t>
      </w:r>
      <w:r>
        <w:rPr>
          <w:rFonts w:ascii="Times New Roman CYR" w:hAnsi="Times New Roman CYR" w:cs="Times New Roman CYR"/>
          <w:sz w:val="24"/>
          <w:szCs w:val="24"/>
        </w:rPr>
        <w:tab/>
        <w:t>2 046</w:t>
      </w:r>
      <w:r>
        <w:rPr>
          <w:rFonts w:ascii="Times New Roman CYR" w:hAnsi="Times New Roman CYR" w:cs="Times New Roman CYR"/>
          <w:sz w:val="24"/>
          <w:szCs w:val="24"/>
        </w:rPr>
        <w:tab/>
        <w:t>4 079</w:t>
      </w:r>
      <w:r>
        <w:rPr>
          <w:rFonts w:ascii="Times New Roman CYR" w:hAnsi="Times New Roman CYR" w:cs="Times New Roman CYR"/>
          <w:sz w:val="24"/>
          <w:szCs w:val="24"/>
        </w:rPr>
        <w:tab/>
        <w:t>-</w:t>
      </w:r>
      <w:r>
        <w:rPr>
          <w:rFonts w:ascii="Times New Roman CYR" w:hAnsi="Times New Roman CYR" w:cs="Times New Roman CYR"/>
          <w:sz w:val="24"/>
          <w:szCs w:val="24"/>
        </w:rPr>
        <w:tab/>
        <w:t>157 656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w:t>
      </w:r>
      <w:r>
        <w:rPr>
          <w:rFonts w:ascii="Times New Roman CYR" w:hAnsi="Times New Roman CYR" w:cs="Times New Roman CYR"/>
          <w:sz w:val="24"/>
          <w:szCs w:val="24"/>
        </w:rPr>
        <w:tab/>
        <w:t>774</w:t>
      </w:r>
      <w:r>
        <w:rPr>
          <w:rFonts w:ascii="Times New Roman CYR" w:hAnsi="Times New Roman CYR" w:cs="Times New Roman CYR"/>
          <w:sz w:val="24"/>
          <w:szCs w:val="24"/>
        </w:rPr>
        <w:tab/>
        <w:t>92 245</w:t>
      </w:r>
      <w:r>
        <w:rPr>
          <w:rFonts w:ascii="Times New Roman CYR" w:hAnsi="Times New Roman CYR" w:cs="Times New Roman CYR"/>
          <w:sz w:val="24"/>
          <w:szCs w:val="24"/>
        </w:rPr>
        <w:tab/>
        <w:t>67 851</w:t>
      </w:r>
      <w:r>
        <w:rPr>
          <w:rFonts w:ascii="Times New Roman CYR" w:hAnsi="Times New Roman CYR" w:cs="Times New Roman CYR"/>
          <w:sz w:val="24"/>
          <w:szCs w:val="24"/>
        </w:rPr>
        <w:tab/>
        <w:t>563</w:t>
      </w:r>
      <w:r>
        <w:rPr>
          <w:rFonts w:ascii="Times New Roman CYR" w:hAnsi="Times New Roman CYR" w:cs="Times New Roman CYR"/>
          <w:sz w:val="24"/>
          <w:szCs w:val="24"/>
        </w:rPr>
        <w:tab/>
        <w:t>1 286</w:t>
      </w:r>
      <w:r>
        <w:rPr>
          <w:rFonts w:ascii="Times New Roman CYR" w:hAnsi="Times New Roman CYR" w:cs="Times New Roman CYR"/>
          <w:sz w:val="24"/>
          <w:szCs w:val="24"/>
        </w:rPr>
        <w:tab/>
        <w:t>2 456</w:t>
      </w:r>
      <w:r>
        <w:rPr>
          <w:rFonts w:ascii="Times New Roman CYR" w:hAnsi="Times New Roman CYR" w:cs="Times New Roman CYR"/>
          <w:sz w:val="24"/>
          <w:szCs w:val="24"/>
        </w:rPr>
        <w:tab/>
        <w:t>165 175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774</w:t>
      </w:r>
      <w:r>
        <w:rPr>
          <w:rFonts w:ascii="Times New Roman CYR" w:hAnsi="Times New Roman CYR" w:cs="Times New Roman CYR"/>
          <w:sz w:val="24"/>
          <w:szCs w:val="24"/>
        </w:rPr>
        <w:tab/>
        <w:t>102 801</w:t>
      </w:r>
      <w:r>
        <w:rPr>
          <w:rFonts w:ascii="Times New Roman CYR" w:hAnsi="Times New Roman CYR" w:cs="Times New Roman CYR"/>
          <w:sz w:val="24"/>
          <w:szCs w:val="24"/>
        </w:rPr>
        <w:tab/>
        <w:t>70 102</w:t>
      </w:r>
      <w:r>
        <w:rPr>
          <w:rFonts w:ascii="Times New Roman CYR" w:hAnsi="Times New Roman CYR" w:cs="Times New Roman CYR"/>
          <w:sz w:val="24"/>
          <w:szCs w:val="24"/>
        </w:rPr>
        <w:tab/>
        <w:t>1 277</w:t>
      </w:r>
      <w:r>
        <w:rPr>
          <w:rFonts w:ascii="Times New Roman CYR" w:hAnsi="Times New Roman CYR" w:cs="Times New Roman CYR"/>
          <w:sz w:val="24"/>
          <w:szCs w:val="24"/>
        </w:rPr>
        <w:tab/>
        <w:t>1 215</w:t>
      </w:r>
      <w:r>
        <w:rPr>
          <w:rFonts w:ascii="Times New Roman CYR" w:hAnsi="Times New Roman CYR" w:cs="Times New Roman CYR"/>
          <w:sz w:val="24"/>
          <w:szCs w:val="24"/>
        </w:rPr>
        <w:tab/>
        <w:t>2 880</w:t>
      </w:r>
      <w:r>
        <w:rPr>
          <w:rFonts w:ascii="Times New Roman CYR" w:hAnsi="Times New Roman CYR" w:cs="Times New Roman CYR"/>
          <w:sz w:val="24"/>
          <w:szCs w:val="24"/>
        </w:rPr>
        <w:tab/>
        <w:t>179 049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статтi 1005 "Незавершенi капiтальнi iнвестицiї" на 31 грудня 2019 року складається з капiтальних iнвестицiй у основнi засоби у сумi 846 тисяч гривень та капiтальних iнвестицiй у нематерiальнi активи на суму 33 тисячi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загалом включає нове обладнання, монтаж якого планується завершити у 2020 роцi.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Впродовж 2019 року капiталiзованi витрати по кредитам, що пов'язанi з квалiфiкацiйними активами, становлять 358 тисяч гривень (2018: 1 115 тисяч гривень). Ставка капiталiзацiї становила 17.4% (2018: 17.4%).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з правом використання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Вибуття активу з права користування та списання орендного зобов'язання (Примiтка 19(б)) у сумi 5 730 тисяч гривень є результатом змiни оцiнки управлiнського персоналу стосовно строку оренди одного з активiв з правом користування Товариства.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Дебiторська заборгованiсть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роботи, послуги станом на 31 грудня 2019 року складає 186 310 тисяч гривень (31 грудня 2018 року: 220 355 тисяч гривень). Сума резерву на покриття збиткiв вiд зменшення корисностi станом на 31 грудня 2019 р. складає  3 887 тисяч гривень та 2018 року дорiвнює нулю.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кредитний ризик Товариства та збитки вiд зменшення корисностi у зв'язку з торговою дебiторською заборгованiстю представлена в примiтцi 21(б)(ii).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Резерв на покриття збиткiв вiд зменшення корисностi дебiторської заборгованостi та виданих авансiв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на покриття збиткiв на 31 грудня 2019 року включає резерв на покриття збиткiв за дебiторською заборгованiстю за виданими авансами у сумi 506 тисяч гривень (31 грудня 2018 р.: 24 тисячi гривень)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резерву на покриття збиткiв вiд зменшення корисностi дебiторської заборгованостi та </w:t>
      </w:r>
      <w:r>
        <w:rPr>
          <w:rFonts w:ascii="Times New Roman CYR" w:hAnsi="Times New Roman CYR" w:cs="Times New Roman CYR"/>
          <w:sz w:val="24"/>
          <w:szCs w:val="24"/>
        </w:rPr>
        <w:lastRenderedPageBreak/>
        <w:t>виданих авансiв за рiк, що закiнчився 31 грудня,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 грудня</w:t>
      </w:r>
      <w:r>
        <w:rPr>
          <w:rFonts w:ascii="Times New Roman CYR" w:hAnsi="Times New Roman CYR" w:cs="Times New Roman CYR"/>
          <w:sz w:val="24"/>
          <w:szCs w:val="24"/>
        </w:rPr>
        <w:tab/>
        <w:t>24</w:t>
      </w:r>
      <w:r>
        <w:rPr>
          <w:rFonts w:ascii="Times New Roman CYR" w:hAnsi="Times New Roman CYR" w:cs="Times New Roman CYR"/>
          <w:sz w:val="24"/>
          <w:szCs w:val="24"/>
        </w:rPr>
        <w:tab/>
      </w:r>
      <w:r>
        <w:rPr>
          <w:rFonts w:ascii="Times New Roman CYR" w:hAnsi="Times New Roman CYR" w:cs="Times New Roman CYR"/>
          <w:sz w:val="24"/>
          <w:szCs w:val="24"/>
        </w:rPr>
        <w:tab/>
        <w:t>12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вiдображенi у складi прибутку або збитку</w:t>
      </w:r>
      <w:r>
        <w:rPr>
          <w:rFonts w:ascii="Times New Roman CYR" w:hAnsi="Times New Roman CYR" w:cs="Times New Roman CYR"/>
          <w:sz w:val="24"/>
          <w:szCs w:val="24"/>
        </w:rPr>
        <w:tab/>
        <w:t>4 369</w:t>
      </w:r>
      <w:r>
        <w:rPr>
          <w:rFonts w:ascii="Times New Roman CYR" w:hAnsi="Times New Roman CYR" w:cs="Times New Roman CYR"/>
          <w:sz w:val="24"/>
          <w:szCs w:val="24"/>
        </w:rPr>
        <w:tab/>
      </w:r>
      <w:r>
        <w:rPr>
          <w:rFonts w:ascii="Times New Roman CYR" w:hAnsi="Times New Roman CYR" w:cs="Times New Roman CYR"/>
          <w:sz w:val="24"/>
          <w:szCs w:val="24"/>
        </w:rPr>
        <w:tab/>
        <w:t>21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 резерву</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 грудня</w:t>
      </w:r>
      <w:r>
        <w:rPr>
          <w:rFonts w:ascii="Times New Roman CYR" w:hAnsi="Times New Roman CYR" w:cs="Times New Roman CYR"/>
          <w:sz w:val="24"/>
          <w:szCs w:val="24"/>
        </w:rPr>
        <w:tab/>
        <w:t>4 393</w:t>
      </w:r>
      <w:r>
        <w:rPr>
          <w:rFonts w:ascii="Times New Roman CYR" w:hAnsi="Times New Roman CYR" w:cs="Times New Roman CYR"/>
          <w:sz w:val="24"/>
          <w:szCs w:val="24"/>
        </w:rPr>
        <w:tab/>
      </w:r>
      <w:r>
        <w:rPr>
          <w:rFonts w:ascii="Times New Roman CYR" w:hAnsi="Times New Roman CYR" w:cs="Times New Roman CYR"/>
          <w:sz w:val="24"/>
          <w:szCs w:val="24"/>
        </w:rPr>
        <w:tab/>
        <w:t>24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резерву на покриття збиткiв вiд зменшення корисностi визнаються у складi iнших операцiйних витрат чи доходiв через несуттєвiсть нарахованих витрат.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Власний капiтал</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Статутний капiтал</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2019 р. та 2018 року зареєстрований та випущений капiтал складається з 24 705 920 простих акцiй. Номiнальна вартiсть акцiї складає 0,25 гривень. Всi акцiї були повнiстю оплаченi станом на 31 грудня 2019 року та 2018 року Товариство виконує вимоги до розмiру статутного капiталу акцiонерних товариств.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2019 року та 2018 року частки в статутному капiталi Товариства розподiлилися мiж акцiонерами наступним чином: АТ "Compagnie International de Malteries", Францiя - 72.6%, Європейський банк реконструкцiї i розвитку (ЄБРР) - 24.0%, iншi юридичнi та фiзичнi особи - 3.4%.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Фактичною контролюючою стороною Товариства є пан Michel Soufflet.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Наступною вищою материнською компанiєю, що складає консолiдовану фiнансову звiтнiсть, яка є загальнодоступною для користування, є Malteries Franco-Belges, Францiя.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Дивiденди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чинним законодавством України, сума дивiдендiв до розподiлу обмежена сумою накопиченого нерозподiленого прибутку.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роках Товариство не оголошувало дивiдендiв. У 2018 роцi Товариство оголосило нарахування дивiдендiв за результатами 2017 року у сумi 90 176 тисяч гривень, або 3,65 гривнi на одну просту акцiю.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Кредити та позики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примiтка мiстить iнформацiю про умови кредитiв та позик згiдно з договорами. Бiльш детальна iнформацiя про процентний та валютний ризики та ризик лiквiдностi представлена у Примiтцi 21(б).</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i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забезпеченi банкiвськi кредити</w:t>
      </w:r>
      <w:r>
        <w:rPr>
          <w:rFonts w:ascii="Times New Roman CYR" w:hAnsi="Times New Roman CYR" w:cs="Times New Roman CYR"/>
          <w:sz w:val="24"/>
          <w:szCs w:val="24"/>
        </w:rPr>
        <w:tab/>
        <w:t>377 842</w:t>
      </w:r>
      <w:r>
        <w:rPr>
          <w:rFonts w:ascii="Times New Roman CYR" w:hAnsi="Times New Roman CYR" w:cs="Times New Roman CYR"/>
          <w:sz w:val="24"/>
          <w:szCs w:val="24"/>
        </w:rPr>
        <w:tab/>
      </w:r>
      <w:r>
        <w:rPr>
          <w:rFonts w:ascii="Times New Roman CYR" w:hAnsi="Times New Roman CYR" w:cs="Times New Roman CYR"/>
          <w:sz w:val="24"/>
          <w:szCs w:val="24"/>
        </w:rPr>
        <w:tab/>
        <w:t>518 463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заборгованiсть за довгостроковими    зобов'язаннями перед пов`язаними сторонами</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11 700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377 842</w:t>
      </w:r>
      <w:r>
        <w:rPr>
          <w:rFonts w:ascii="Times New Roman CYR" w:hAnsi="Times New Roman CYR" w:cs="Times New Roman CYR"/>
          <w:sz w:val="24"/>
          <w:szCs w:val="24"/>
        </w:rPr>
        <w:tab/>
      </w:r>
      <w:r>
        <w:rPr>
          <w:rFonts w:ascii="Times New Roman CYR" w:hAnsi="Times New Roman CYR" w:cs="Times New Roman CYR"/>
          <w:sz w:val="24"/>
          <w:szCs w:val="24"/>
        </w:rPr>
        <w:tab/>
        <w:t>530 163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2019 року сума овердрафту в короткострокових забезпечених банкiвських кредитах дорiвнює 5 974 тис. грн (31 грудня 2018 року: нуль.).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2019 та 2018 року тiло кредиту та нарахованi вiдсотки вiдображенi в звiтностi як поточнi зобов'язання, оскiльки строк погашення спливає менш нiж за 12 мiсяцiв вiд звiтної дати.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w:t>
      </w:r>
      <w:r>
        <w:rPr>
          <w:rFonts w:ascii="Times New Roman CYR" w:hAnsi="Times New Roman CYR" w:cs="Times New Roman CYR"/>
          <w:sz w:val="24"/>
          <w:szCs w:val="24"/>
        </w:rPr>
        <w:tab/>
        <w:t>Умови та строки погашення кредитiв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та строки погашення iснуючих кредитiв на 31 грудня 2019 року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Номiнальна ставка вiдсотка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Рiк погашення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у гривнях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13.0% - 16.3%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287 365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в євро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72 357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у дол. США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18 120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Оренднi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2022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5 259</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383 101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та строки погашення iснуючих кредитiв на 31 грудня 2018 року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Номiнальна ставка вiдсотка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Рiк погашення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у гривнях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21.0% - 23.0%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473 426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Банкiвськi кредити в євро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45 037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вiд пов'язаних сторiн у євро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EURIBOR 6 months + 2%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11 700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530 163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Повернення кредитiв на загальну суму 377 842 тисячi гривень на 31 грудня 2019 року (31 грудня 2018 року: 530 163 тисячу гривень) гарантує компанiя ETC J. Soufflet SA., пов'язана сторона (Примiтка 24).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Узгодження рухiв зобов'язань до руху грошових коштiв, що виникають внаслiдок фiнансової дiяльностi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Оренднi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Кредити та позики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Кредити та позики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Баланс станом на 1 сiчня*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530 163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442 956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Ефект застосування МСФЗ 16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16 582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Надходження вiд отриманих позик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884 345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624 561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Витрачання на погашення позик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(4 957)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(1 030 260)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(532 570)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 змiн вiд грошових потокiв вiд фiнансової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11 625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384 248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534 947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дохiд по курсовим рiзницям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(1 359)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(4 792)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(6 640)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Капiталiзованi вiдсотки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358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1 115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Витрати на сплату вiдсоткiв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723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81 305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58 154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Змiна оцiнки строку оренди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(5 730)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Виплаченi вiдсотки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(83 277)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(57 413)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 iнших змiн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(6366)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(6 406)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(4 784)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Баланс станом на 31 грудня*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(5 259)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377 842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530 163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Кредиторська заборгованiсть за товари, роботи, послуги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представлена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за ячмiнь</w:t>
      </w:r>
      <w:r>
        <w:rPr>
          <w:rFonts w:ascii="Times New Roman CYR" w:hAnsi="Times New Roman CYR" w:cs="Times New Roman CYR"/>
          <w:sz w:val="24"/>
          <w:szCs w:val="24"/>
        </w:rPr>
        <w:tab/>
        <w:t>18 273</w:t>
      </w:r>
      <w:r>
        <w:rPr>
          <w:rFonts w:ascii="Times New Roman CYR" w:hAnsi="Times New Roman CYR" w:cs="Times New Roman CYR"/>
          <w:sz w:val="24"/>
          <w:szCs w:val="24"/>
        </w:rPr>
        <w:tab/>
        <w:t>60 468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торгова кредиторська заборгованiсть</w:t>
      </w:r>
      <w:r>
        <w:rPr>
          <w:rFonts w:ascii="Times New Roman CYR" w:hAnsi="Times New Roman CYR" w:cs="Times New Roman CYR"/>
          <w:sz w:val="24"/>
          <w:szCs w:val="24"/>
        </w:rPr>
        <w:tab/>
        <w:t>9 291</w:t>
      </w:r>
      <w:r>
        <w:rPr>
          <w:rFonts w:ascii="Times New Roman CYR" w:hAnsi="Times New Roman CYR" w:cs="Times New Roman CYR"/>
          <w:sz w:val="24"/>
          <w:szCs w:val="24"/>
        </w:rPr>
        <w:tab/>
        <w:t>7 208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27 564</w:t>
      </w:r>
      <w:r>
        <w:rPr>
          <w:rFonts w:ascii="Times New Roman CYR" w:hAnsi="Times New Roman CYR" w:cs="Times New Roman CYR"/>
          <w:sz w:val="24"/>
          <w:szCs w:val="24"/>
        </w:rPr>
        <w:tab/>
        <w:t>67 676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 детальна iнформацiя про валютний ризик та ризик лiквiдностi представлена у Примiтцi 21.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Справедлива вартiсть та управлiння ризиками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Визначення справедливої вартостi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Оцiнена справедлива вартiсть фiнансових активiв i фiнансових зобов'язань була визначена з використанням наявної ринкової iнформацiї та належних методологiй оцiнки вартостi. Однак для оцiнки справедливої вартостi необхiдно суттєвим чином проаналiзувати ринковi данi. Отже, оцiнки справедливої вартостi не обов'язково вказують суми, якi могли б бути отриманi на ринку в даний час. Використання рiзних припущень щодо ринку та/або методологiй оцiнки може мати </w:t>
      </w:r>
      <w:r>
        <w:rPr>
          <w:rFonts w:ascii="Times New Roman CYR" w:hAnsi="Times New Roman CYR" w:cs="Times New Roman CYR"/>
          <w:sz w:val="24"/>
          <w:szCs w:val="24"/>
        </w:rPr>
        <w:lastRenderedPageBreak/>
        <w:t>суттєвий вплив на оцiнену справедливу вартiсть.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Оцiнена справедлива вартiсть фiнансових активiв i фiнансових зобов'язань визначається з використанням методологiї дисконтованих грошових потокiв та iнших належних методологiй оцiнки вартостi на кiнець року i може не вiдображати справедливу вартiсть цих iнструментiв на дату складання та розповсюдження цiєї фiнансової звiтностi. Цi розрахунки не вiдображають нiяких премiй або дисконтiв, що можуть виникнути внаслiдок пропозицiї на продаж одночасно всiєї суми певного фiнансового iнструмента, що належить Товариству. Оцiнка справедливої вартостi ?рунтується на судженнях щодо очiкуваних у майбутньому грошових потокiв, поточних економiчних умов, характеристик ризику рiзних фiнансових iнструментiв та iнших факторiв.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всiх фiнансових активiв i зобов'язань наближається до їх балансової вартостi на 31 грудня 2019 року та 2018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Управлiння фiнансовими ризиками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використанням фiнансових iнструментiв у Товариства виникають такi ризики: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кредитний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лiквiдностi;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ринковий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Структура управлiння ризиками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несе загальну вiдповiдальнiсть за створення структури управлiння ризиками i здiйснення нагляду за нею.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Полiтики управлiння ризиками визначаються з метою виявлення та аналiзу ризикiв, з якими стикається Товариство, встановлення належних лiмiтiв ризикiв i засобiв контролю за ними, монiторингу ризикiв i дотримання лiмiтiв. Полiтики i системи управлiння ризиками регулярно переглядаються з метою вiдображення змiн ринкових умов i дiяльностi Товариства. Застосовуючи засоби навчання i стандарти та процедури управлiння, Товариство прагне до створення такого дисциплiнуючого i конструктивного середовища контролю, в якому всi працiвники розумiють свою роль i обов'язки.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здiйснює нагляд над тим, як управлiнський персонал контролює дотримання полiтик та процедур управлiння ризиками, та перевiряє вiдповiднiсть структури управлiння ризиками стосовно таких ризикiв.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Кредитний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являє собою ризик фiнансового збитку для Товариства в результатi невиконання клiєнтом або контрагентом за фiнансовим iнструментом своїх зобов'язань за договором. Кредитний ризик виникає переважно у зв'язку з дебiторською заборгованiстю клiєнтiв, передплатами постачальникам i грошовими коштами та їх еквiвалентами.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та iнша дебiторська заборгованiсть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кредитного ризику Товариства залежить, головним чином, вiд iндивiдуальних характеристик кожного клiєнта. У 2019 роцi приблизно 79% (2018: 70%) вiд чистого доходу вiд реалiзацiї продукцiї (товарiв, робiт, послуг) та 95% (2018: 85%) дебiторської заборгованостi Товариства припадає на двох великих покупцiв. У 2019 роцi приблизно 13% (2018: 14%) чистого доходу вiд реалiзацiї продукцiї (товарiв, робiт, послуг) припадає на експорт, решта реалiзується в Українi.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вимагає застави по торговiй та iншiй дебiторськiй заборгованостi.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створює резерв пiд очiкуванi кредитнi збитки стосовно дебiторської заборгованостi, який являє собою його оцiнку понесених збиткiв вiд торгової та iншої дебiторської заборгованостi.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здiйсненi монiторингу кредитного ризику управлiнський персонал оцiнює ймовiрнiсть погашення торгової дебiторської заборгованостi на основi аналiзу окремих рахункiв та покупцiв. Фактори, що беруться до уваги, включають аналiз торгової дебiторської заборгованостi за строками погашення згiдно умов контракту, а також фiнансовий стан та iсторiю погашення боргу покупцем.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Аналiз торгової дебiторської заборгованостi за строками прострочення оплати станом на           31 грудня представлений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2019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Кредитно не знецiненi</w:t>
      </w:r>
      <w:r>
        <w:rPr>
          <w:rFonts w:ascii="Times New Roman CYR" w:hAnsi="Times New Roman CYR" w:cs="Times New Roman CYR"/>
          <w:sz w:val="24"/>
          <w:szCs w:val="24"/>
        </w:rPr>
        <w:tab/>
      </w:r>
      <w:r>
        <w:rPr>
          <w:rFonts w:ascii="Times New Roman CYR" w:hAnsi="Times New Roman CYR" w:cs="Times New Roman CYR"/>
          <w:sz w:val="24"/>
          <w:szCs w:val="24"/>
        </w:rPr>
        <w:tab/>
        <w:t>Кредитнознецiненi</w:t>
      </w:r>
      <w:r>
        <w:rPr>
          <w:rFonts w:ascii="Times New Roman CYR" w:hAnsi="Times New Roman CYR" w:cs="Times New Roman CYR"/>
          <w:sz w:val="24"/>
          <w:szCs w:val="24"/>
        </w:rPr>
        <w:tab/>
      </w:r>
      <w:r>
        <w:rPr>
          <w:rFonts w:ascii="Times New Roman CYR" w:hAnsi="Times New Roman CYR" w:cs="Times New Roman CYR"/>
          <w:sz w:val="24"/>
          <w:szCs w:val="24"/>
        </w:rPr>
        <w:tab/>
        <w:t>Резерв втрат</w:t>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t>Кредитно не знецiненi</w:t>
      </w:r>
      <w:r>
        <w:rPr>
          <w:rFonts w:ascii="Times New Roman CYR" w:hAnsi="Times New Roman CYR" w:cs="Times New Roman CYR"/>
          <w:sz w:val="24"/>
          <w:szCs w:val="24"/>
        </w:rPr>
        <w:tab/>
      </w:r>
      <w:r>
        <w:rPr>
          <w:rFonts w:ascii="Times New Roman CYR" w:hAnsi="Times New Roman CYR" w:cs="Times New Roman CYR"/>
          <w:sz w:val="24"/>
          <w:szCs w:val="24"/>
        </w:rPr>
        <w:tab/>
        <w:t>Кредитнознецiненi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прострочена</w:t>
      </w:r>
      <w:r>
        <w:rPr>
          <w:rFonts w:ascii="Times New Roman CYR" w:hAnsi="Times New Roman CYR" w:cs="Times New Roman CYR"/>
          <w:sz w:val="24"/>
          <w:szCs w:val="24"/>
        </w:rPr>
        <w:tab/>
      </w:r>
      <w:r>
        <w:rPr>
          <w:rFonts w:ascii="Times New Roman CYR" w:hAnsi="Times New Roman CYR" w:cs="Times New Roman CYR"/>
          <w:sz w:val="24"/>
          <w:szCs w:val="24"/>
        </w:rPr>
        <w:tab/>
        <w:t>177 055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177 055</w:t>
      </w:r>
      <w:r>
        <w:rPr>
          <w:rFonts w:ascii="Times New Roman CYR" w:hAnsi="Times New Roman CYR" w:cs="Times New Roman CYR"/>
          <w:sz w:val="24"/>
          <w:szCs w:val="24"/>
        </w:rPr>
        <w:tab/>
      </w:r>
      <w:r>
        <w:rPr>
          <w:rFonts w:ascii="Times New Roman CYR" w:hAnsi="Times New Roman CYR" w:cs="Times New Roman CYR"/>
          <w:sz w:val="24"/>
          <w:szCs w:val="24"/>
        </w:rPr>
        <w:tab/>
        <w:t>213 810</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30 днiв</w:t>
      </w:r>
      <w:r>
        <w:rPr>
          <w:rFonts w:ascii="Times New Roman CYR" w:hAnsi="Times New Roman CYR" w:cs="Times New Roman CYR"/>
          <w:sz w:val="24"/>
          <w:szCs w:val="24"/>
        </w:rPr>
        <w:tab/>
      </w:r>
      <w:r>
        <w:rPr>
          <w:rFonts w:ascii="Times New Roman CYR" w:hAnsi="Times New Roman CYR" w:cs="Times New Roman CYR"/>
          <w:sz w:val="24"/>
          <w:szCs w:val="24"/>
        </w:rPr>
        <w:tab/>
        <w:t>7 495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7 495</w:t>
      </w:r>
      <w:r>
        <w:rPr>
          <w:rFonts w:ascii="Times New Roman CYR" w:hAnsi="Times New Roman CYR" w:cs="Times New Roman CYR"/>
          <w:sz w:val="24"/>
          <w:szCs w:val="24"/>
        </w:rPr>
        <w:tab/>
      </w:r>
      <w:r>
        <w:rPr>
          <w:rFonts w:ascii="Times New Roman CYR" w:hAnsi="Times New Roman CYR" w:cs="Times New Roman CYR"/>
          <w:sz w:val="24"/>
          <w:szCs w:val="24"/>
        </w:rPr>
        <w:tab/>
        <w:t>6 303</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31 - 60 днiв</w:t>
      </w:r>
      <w:r>
        <w:rPr>
          <w:rFonts w:ascii="Times New Roman CYR" w:hAnsi="Times New Roman CYR" w:cs="Times New Roman CYR"/>
          <w:sz w:val="24"/>
          <w:szCs w:val="24"/>
        </w:rPr>
        <w:tab/>
      </w:r>
      <w:r>
        <w:rPr>
          <w:rFonts w:ascii="Times New Roman CYR" w:hAnsi="Times New Roman CYR" w:cs="Times New Roman CYR"/>
          <w:sz w:val="24"/>
          <w:szCs w:val="24"/>
        </w:rPr>
        <w:tab/>
        <w:t>499</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499</w:t>
      </w:r>
      <w:r>
        <w:rPr>
          <w:rFonts w:ascii="Times New Roman CYR" w:hAnsi="Times New Roman CYR" w:cs="Times New Roman CYR"/>
          <w:sz w:val="24"/>
          <w:szCs w:val="24"/>
        </w:rPr>
        <w:tab/>
      </w:r>
      <w:r>
        <w:rPr>
          <w:rFonts w:ascii="Times New Roman CYR" w:hAnsi="Times New Roman CYR" w:cs="Times New Roman CYR"/>
          <w:sz w:val="24"/>
          <w:szCs w:val="24"/>
        </w:rPr>
        <w:tab/>
        <w:t>242</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61 - 90 днiв</w:t>
      </w:r>
      <w:r>
        <w:rPr>
          <w:rFonts w:ascii="Times New Roman CYR" w:hAnsi="Times New Roman CYR" w:cs="Times New Roman CYR"/>
          <w:sz w:val="24"/>
          <w:szCs w:val="24"/>
        </w:rPr>
        <w:tab/>
      </w:r>
      <w:r>
        <w:rPr>
          <w:rFonts w:ascii="Times New Roman CYR" w:hAnsi="Times New Roman CYR" w:cs="Times New Roman CYR"/>
          <w:sz w:val="24"/>
          <w:szCs w:val="24"/>
        </w:rPr>
        <w:tab/>
        <w:t>408</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408</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Бiльше 90 днiв</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4 740</w:t>
      </w:r>
      <w:r>
        <w:rPr>
          <w:rFonts w:ascii="Times New Roman CYR" w:hAnsi="Times New Roman CYR" w:cs="Times New Roman CYR"/>
          <w:sz w:val="24"/>
          <w:szCs w:val="24"/>
        </w:rPr>
        <w:tab/>
      </w:r>
      <w:r>
        <w:rPr>
          <w:rFonts w:ascii="Times New Roman CYR" w:hAnsi="Times New Roman CYR" w:cs="Times New Roman CYR"/>
          <w:sz w:val="24"/>
          <w:szCs w:val="24"/>
        </w:rPr>
        <w:tab/>
        <w:t xml:space="preserve">(3 887) </w:t>
      </w:r>
      <w:r>
        <w:rPr>
          <w:rFonts w:ascii="Times New Roman CYR" w:hAnsi="Times New Roman CYR" w:cs="Times New Roman CYR"/>
          <w:sz w:val="24"/>
          <w:szCs w:val="24"/>
        </w:rPr>
        <w:tab/>
      </w:r>
      <w:r>
        <w:rPr>
          <w:rFonts w:ascii="Times New Roman CYR" w:hAnsi="Times New Roman CYR" w:cs="Times New Roman CYR"/>
          <w:sz w:val="24"/>
          <w:szCs w:val="24"/>
        </w:rPr>
        <w:tab/>
        <w:t>853</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185 457 </w:t>
      </w:r>
      <w:r>
        <w:rPr>
          <w:rFonts w:ascii="Times New Roman CYR" w:hAnsi="Times New Roman CYR" w:cs="Times New Roman CYR"/>
          <w:sz w:val="24"/>
          <w:szCs w:val="24"/>
        </w:rPr>
        <w:tab/>
      </w:r>
      <w:r>
        <w:rPr>
          <w:rFonts w:ascii="Times New Roman CYR" w:hAnsi="Times New Roman CYR" w:cs="Times New Roman CYR"/>
          <w:sz w:val="24"/>
          <w:szCs w:val="24"/>
        </w:rPr>
        <w:tab/>
        <w:t>4 740</w:t>
      </w:r>
      <w:r>
        <w:rPr>
          <w:rFonts w:ascii="Times New Roman CYR" w:hAnsi="Times New Roman CYR" w:cs="Times New Roman CYR"/>
          <w:sz w:val="24"/>
          <w:szCs w:val="24"/>
        </w:rPr>
        <w:tab/>
      </w:r>
      <w:r>
        <w:rPr>
          <w:rFonts w:ascii="Times New Roman CYR" w:hAnsi="Times New Roman CYR" w:cs="Times New Roman CYR"/>
          <w:sz w:val="24"/>
          <w:szCs w:val="24"/>
        </w:rPr>
        <w:tab/>
        <w:t>(3 887)</w:t>
      </w:r>
      <w:r>
        <w:rPr>
          <w:rFonts w:ascii="Times New Roman CYR" w:hAnsi="Times New Roman CYR" w:cs="Times New Roman CYR"/>
          <w:sz w:val="24"/>
          <w:szCs w:val="24"/>
        </w:rPr>
        <w:tab/>
      </w:r>
      <w:r>
        <w:rPr>
          <w:rFonts w:ascii="Times New Roman CYR" w:hAnsi="Times New Roman CYR" w:cs="Times New Roman CYR"/>
          <w:sz w:val="24"/>
          <w:szCs w:val="24"/>
        </w:rPr>
        <w:tab/>
        <w:t xml:space="preserve">186 310 </w:t>
      </w:r>
      <w:r>
        <w:rPr>
          <w:rFonts w:ascii="Times New Roman CYR" w:hAnsi="Times New Roman CYR" w:cs="Times New Roman CYR"/>
          <w:sz w:val="24"/>
          <w:szCs w:val="24"/>
        </w:rPr>
        <w:tab/>
      </w:r>
      <w:r>
        <w:rPr>
          <w:rFonts w:ascii="Times New Roman CYR" w:hAnsi="Times New Roman CYR" w:cs="Times New Roman CYR"/>
          <w:sz w:val="24"/>
          <w:szCs w:val="24"/>
        </w:rPr>
        <w:tab/>
        <w:t xml:space="preserve">220 355 </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2019 року. Товариством нарахувало резерв пiд очiкуванi кредитнi збитки стосовно дебiторської заборгованостi в сумi 3 887 тис грн. (2018 рiк: нуль).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2019 року, прострочена дебiторська заборгованiсть на загальну суму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13 142 тисячi гривень. Керiвництво очiкує, що ця заборгованiсть буде погашена у найкоротшi термiни, пiсля звiтної дати, базуючись на досвiдi спiвпрацi з цими контрагентами та їх кредитних iсторiях.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Прострочена дебiторська заборгованiсть, що станом на 31 грудня 2018 року складала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6 545 тисячi гривень була у повнiй мiрi виплачена у 2019 роцi.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оцiнок стосовно ймовiрностi погашення заборгованостi можуть вплинути на суму визнаних збиткiв вiд зменшення корисностi. Наприклад, якщо б вiдшкодування вiдрiзнялось на мiнус один процент, торгова дебiторська заборгованiсть станом на 31 грудня 2019 року була б приблизно на 1 863  тисячi гривень менше (31 грудня 2018 року: 2 204 тисячi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2019 року у Товариства iснує ризик невiдшкодування виплачених авансiв в розмiрi    34 685 тисяч гривень (31 грудня 2018: 5 900 тисяч гривень). На 31 грудня 2019 року сплаченi аванси були знецiненi на 506 тисяч гривень (31 грудня 2018: 24 тисячi гривень) (Примiтка 17).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Ризик лiквiдностi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полягає у тому, що Товариство матиме труднощi при виконаннi своїх зобов'язань, пов'язаних з фiнансовими зобов'язаннями, якi погашаються шляхом надання грошових коштiв або iншого фiнансового активу. Пiдхiд до управлiння лiквiднiстю передбачає забезпечення, наскiльки це можливо, постiйної наявностi лiквiдностi, достатньої для своєчасного виконання зобов'язань Товариства як у звичайних умовах, так i у надзвичайних ситуацiях, уникаючи при цьому неприйнятних збиткiв i ризику нанесення шкоди репутацiї Товариства.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правило, Товариство забезпечує наявнiсть грошових коштiв на розрахункових рахунках для оплати протягом п'яти днiв очiкуваних операцiйних витрат, включаючи обслуговування фiнансових зобов'язань, за винятком коштiв на покриття потенцiйних наслiдкiв непередбачуваних надзвичайних обставин, таких як стихiйнi лиха.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ризику лiквiдностi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погашення фiнансових зобов'язань згiдно з договорами, включаючи розрахунковi виплати процентiв, представленi таким чином: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2019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До одного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одного до трьох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трьох до п'яти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Усього грошовi потоки за договорами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 та нарахованi вiдсотки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377 842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378 463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378 463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27 564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27 564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27 564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Оренднi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5 259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2 554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3 049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5 603</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410 665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408 581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3 049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411 630</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До одного року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одного до трьох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Вiд трьох до п'яти рокiв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Усього грошовi потоки за договорами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 та нарахованi вiдсотки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530 163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532 344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532 344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67 676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67 676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67 676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597 839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600 020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600 020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приблизно 66% (2018: 89%) кредиторської заборгованостi Товариства припадає на одного великого постачальника.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w:t>
      </w:r>
      <w:r>
        <w:rPr>
          <w:rFonts w:ascii="Times New Roman CYR" w:hAnsi="Times New Roman CYR" w:cs="Times New Roman CYR"/>
          <w:sz w:val="24"/>
          <w:szCs w:val="24"/>
        </w:rPr>
        <w:tab/>
        <w:t>Ринковий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полягає у тому, що змiни ринкових цiн, таких як валютнi курси, ставки вiдсотка будуть впливати на доходи Товариства або на вартiсть його фiнансових iнструментiв. Метою управлiння ринковим ризиком є управлiння i контроль рiвня ринкового ризику в межах прийнятних параметрiв при оптимiзацiї доходностi.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Товариства виникає валютний ризик у зв'язку з реалiзацiєю, покупками та позиками, деномiнованими у валютi, iншiй, нiж функцiональна валюта Товариства, а саме гривнi.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Законодавство України обмежує можливiсть хеджування валютних ризикiв, отже, Товариство не хеджує свої валютнi ризики.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валютного ризику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валютного ризику для Товариства, розрахований на основi номiнальних сум, був таким: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доларах США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євро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3 871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(18 120)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(72 357)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Оренднi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(5 259)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(981)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(3 332)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ризик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(24 360)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(71 818)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доларах США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Деномiновано в євро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6 890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Кредити та позики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(56 737)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(1 127)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(3 335)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Чистий ризик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(1 127)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(53 182)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чутливостi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10-процентне ослаблення курсу гривнi по вiдношенню до наступних валют мало б вплив на чистий прибуток та капiтал на зазначенi нижче суми. При цьому припускається, що всi iншi змiннi величини, зокрема, процентнi ставки, залишаться постiйними.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Долари США</w:t>
      </w:r>
      <w:r>
        <w:rPr>
          <w:rFonts w:ascii="Times New Roman CYR" w:hAnsi="Times New Roman CYR" w:cs="Times New Roman CYR"/>
          <w:sz w:val="24"/>
          <w:szCs w:val="24"/>
        </w:rPr>
        <w:tab/>
        <w:t>(1 998)</w:t>
      </w:r>
      <w:r>
        <w:rPr>
          <w:rFonts w:ascii="Times New Roman CYR" w:hAnsi="Times New Roman CYR" w:cs="Times New Roman CYR"/>
          <w:sz w:val="24"/>
          <w:szCs w:val="24"/>
        </w:rPr>
        <w:tab/>
      </w:r>
      <w:r>
        <w:rPr>
          <w:rFonts w:ascii="Times New Roman CYR" w:hAnsi="Times New Roman CYR" w:cs="Times New Roman CYR"/>
          <w:sz w:val="24"/>
          <w:szCs w:val="24"/>
        </w:rPr>
        <w:tab/>
        <w:t>(92)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Євро</w:t>
      </w:r>
      <w:r>
        <w:rPr>
          <w:rFonts w:ascii="Times New Roman CYR" w:hAnsi="Times New Roman CYR" w:cs="Times New Roman CYR"/>
          <w:sz w:val="24"/>
          <w:szCs w:val="24"/>
        </w:rPr>
        <w:tab/>
        <w:t>(5 889)</w:t>
      </w:r>
      <w:r>
        <w:rPr>
          <w:rFonts w:ascii="Times New Roman CYR" w:hAnsi="Times New Roman CYR" w:cs="Times New Roman CYR"/>
          <w:sz w:val="24"/>
          <w:szCs w:val="24"/>
        </w:rPr>
        <w:tab/>
      </w:r>
      <w:r>
        <w:rPr>
          <w:rFonts w:ascii="Times New Roman CYR" w:hAnsi="Times New Roman CYR" w:cs="Times New Roman CYR"/>
          <w:sz w:val="24"/>
          <w:szCs w:val="24"/>
        </w:rPr>
        <w:tab/>
        <w:t>(4 361)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10-процентне змiцнення курсу гривнi по вiдношенню до наведених у таблицi валют на 31 грудня справило б рiвний, але протилежний за значенням вплив на наведенi вище суми, за умови, що всi iншi змiннi величини залишаються постiйними.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w:t>
      </w:r>
      <w:r>
        <w:rPr>
          <w:rFonts w:ascii="Times New Roman CYR" w:hAnsi="Times New Roman CYR" w:cs="Times New Roman CYR"/>
          <w:sz w:val="24"/>
          <w:szCs w:val="24"/>
        </w:rPr>
        <w:tab/>
        <w:t>Процентний ризик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процентних ставок впливають, головним чином, на кредити та позики шляхом змiни їх </w:t>
      </w:r>
      <w:r>
        <w:rPr>
          <w:rFonts w:ascii="Times New Roman CYR" w:hAnsi="Times New Roman CYR" w:cs="Times New Roman CYR"/>
          <w:sz w:val="24"/>
          <w:szCs w:val="24"/>
        </w:rPr>
        <w:lastRenderedPageBreak/>
        <w:t>справедливої вартостi (заборгованiсть за фiксованою ставкою) або майбутнiх грошових потокiв (заборгованiсть за змiнною ставкою). Управлiнський персонал не має офiцiйної полiтики визначення необхiдного спiввiдношення заборгованостi за фiксованими процентними ставками i заборгованостi за змiнними процентними ставками. Однак при отриманнi нових кредитiв або позик управлiнський персонал проводить вiдповiдний аналiз, перш нiж прийняти рiшення про те, яка процентна ставка - фiксована або змiнна - буде бiльш вигiдною для Товариства протягом очiкуваного перiоду до строку погашення заборгованостi. Розмiр фiксованої процентної ставки визначається виходячи з ринкових умов на момент отримання позики.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вiдображає в облiку фiнансовi iнструменти з фiксованою ставкою як iнструменти за справедливою вартiстю з вiдображенням результату переоцiнки в iншому сукупному доходi (FVOCI) або за справедливою вартiстю з вiдображенням результату переоцiнки у прибутку або збитку (FVTPL). Отже, змiни процентних ставок на дату звiтностi не впливають анi на прибуток або збиток, анi на власний капiтал.</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змiна ставок вiдсотка на 100 базисних пунктiв на звiтну дату по фiнансовим iнструментам зi змiнною ставкою вiдсотка, не мала б суттєвого впливу на величину власного капiталу i чистого прибутку або збитку за перiод. Даний аналiз проводився, виходячи з припущення про те, що всi iншi змiннi, зокрема обмiннi курси iноземних валют, залишаються незмiнними.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Управлiння капiталом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Полiтикою Товариства передбачено пiдтримання стабiльного рiвня капiталу для забезпечення довiри з боку iнвесторiв, кредиторiв та iнших учасникiв ринку, а також забезпечення подальшого сталого розвитку господарської дiяльностi Товариства. Це досягається завдяки ефективному управлiнню грошовими коштами, постiйному монiторингу доходiв i прибутку Товариства i iнвестицiйним планам, фiнансованим, головним чином, за рахунок операцiйних грошових потокiв Товариства. Завдяки цим заходам Товариство прагне забезпечити стабiльне зростання прибуткiв.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Зобов'язання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Зобов'язання по капiталовкладенням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2019 року Товариство уклало договори на придбання та монтаж обладнання на суму 2 680 тисяч гривень (31 грудня 2018 року: 1 474 тисячi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Непередбаченi зобов'язання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Судовi процеси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2018 року, Товариство подало позов в суд на скасування податкових повiдомлень-рiшень за плановою перевiркою податкових перiодiв 2015-2017 рокiв та 1 кварталу 2018 року на суму 2 899 тисяч гривень. Рiшенням Верховного суду України вiд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вересня 2019 року  позов Товариства задоволено та податковi повiдомлення-рiшення скасовано повнiстю.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w:t>
      </w:r>
      <w:r>
        <w:rPr>
          <w:rFonts w:ascii="Times New Roman CYR" w:hAnsi="Times New Roman CYR" w:cs="Times New Roman CYR"/>
          <w:sz w:val="24"/>
          <w:szCs w:val="24"/>
        </w:rPr>
        <w:tab/>
        <w:t xml:space="preserve">Регуляторнi ризики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Товариством було врегулювало ризик штрафних санкцiй внаслiдок невиконання регуляторних вимог. Сума таких штрафних санкцiй сплачена в розмiрi 510 тисяч гривень.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Pr>
          <w:rFonts w:ascii="Times New Roman CYR" w:hAnsi="Times New Roman CYR" w:cs="Times New Roman CYR"/>
          <w:sz w:val="24"/>
          <w:szCs w:val="24"/>
        </w:rPr>
        <w:tab/>
        <w:t>Непередбаченi податковi зобов'язання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свої операцiї в Українi i тому має вiдповiдати вимогам податкового законодавства України. Для української системи оподаткування характерними є наявнiсть численних податкiв та законодавство, яке часто змiнюється, може застосовуватися ретроспективно, мати рiзне трактування, а в деяких випадках є суперечливим.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Нерiдко виникають протирiччя у тлумаченнi податкового законодавства мiж мiсцевою, обласною i державними фiскальними службами та Мiнiстерством фiнансiв i iншими державними органами. Податковi декларацiї пiдлягають перевiрцi з боку рiзних органiв влади, якi за законодавством уповноваженi застосовувати суворi штрафнi санкцiї, а також стягувати пеню та вiдсотки. Податковий рiк залишається вiдкритим для перевiрок податковими органами </w:t>
      </w:r>
      <w:r>
        <w:rPr>
          <w:rFonts w:ascii="Times New Roman CYR" w:hAnsi="Times New Roman CYR" w:cs="Times New Roman CYR"/>
          <w:sz w:val="24"/>
          <w:szCs w:val="24"/>
        </w:rPr>
        <w:lastRenderedPageBreak/>
        <w:t xml:space="preserve">протягом трьох наступних календарних рокiв, однак за певних обставин цей термiн може бути продовжений.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 факти створюють бiльш серйознi податковi ризики в Українi, нiж тi, якi є типовими для країн з бiльш розвиненими системами оподаткування. Керiвництво вважає, що податковi зобов'язання визнанi у цiй фiнансовiй звiтностi є адекватними, ?рунтуючись на власнiй iнтерпретацiї податкового законодавства, офiцiйних тверджень та рiшень судiв. Однак, iнтерпретацiї вiдповiдних контролюючих органiв можуть бути iншими, а ефект на фiнансову звiтнiсть, якщо такi контролюючi органи будуть успiшнi у застосуваннi своїх iнтерпретацiй, можуть бути суттєвими.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Операцiї з пов'язаними сторонами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ходi своєї звичайної дiяльностi Товариство проводить операцiї iз пов'язаними сторонами.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Винагорода управлiнському персоналу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основного управлiнського персоналу вiдносяться особи, якi мають повноваження та несуть вiдповiдальнiсть за планування, керiвництво i контроль дiяльностi Товариства.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управлiнський персонал отримав такi виплати за роки, що закiнчилися 31 грудня: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2018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виплати працiвникам: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премiї</w:t>
      </w:r>
      <w:r>
        <w:rPr>
          <w:rFonts w:ascii="Times New Roman CYR" w:hAnsi="Times New Roman CYR" w:cs="Times New Roman CYR"/>
          <w:sz w:val="24"/>
          <w:szCs w:val="24"/>
        </w:rPr>
        <w:tab/>
        <w:t>4 927</w:t>
      </w:r>
      <w:r>
        <w:rPr>
          <w:rFonts w:ascii="Times New Roman CYR" w:hAnsi="Times New Roman CYR" w:cs="Times New Roman CYR"/>
          <w:sz w:val="24"/>
          <w:szCs w:val="24"/>
        </w:rPr>
        <w:tab/>
      </w:r>
      <w:r>
        <w:rPr>
          <w:rFonts w:ascii="Times New Roman CYR" w:hAnsi="Times New Roman CYR" w:cs="Times New Roman CYR"/>
          <w:sz w:val="24"/>
          <w:szCs w:val="24"/>
        </w:rPr>
        <w:tab/>
        <w:t>4 372</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Операцiї з iншими пов'язаними сторонами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операцiй з iншими пов'язаними сторонами Товариства розкрита нижче.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тисячах гривень)</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31 грудня 2018 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 пiд спiльним контролем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30 404</w:t>
      </w:r>
      <w:r>
        <w:rPr>
          <w:rFonts w:ascii="Times New Roman CYR" w:hAnsi="Times New Roman CYR" w:cs="Times New Roman CYR"/>
          <w:sz w:val="24"/>
          <w:szCs w:val="24"/>
        </w:rPr>
        <w:tab/>
      </w:r>
      <w:r>
        <w:rPr>
          <w:rFonts w:ascii="Times New Roman CYR" w:hAnsi="Times New Roman CYR" w:cs="Times New Roman CYR"/>
          <w:sz w:val="24"/>
          <w:szCs w:val="24"/>
        </w:rPr>
        <w:tab/>
        <w:t>91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за ячмiнь</w:t>
      </w:r>
      <w:r>
        <w:rPr>
          <w:rFonts w:ascii="Times New Roman CYR" w:hAnsi="Times New Roman CYR" w:cs="Times New Roman CYR"/>
          <w:sz w:val="24"/>
          <w:szCs w:val="24"/>
        </w:rPr>
        <w:tab/>
        <w:t>18 273</w:t>
      </w:r>
      <w:r>
        <w:rPr>
          <w:rFonts w:ascii="Times New Roman CYR" w:hAnsi="Times New Roman CYR" w:cs="Times New Roman CYR"/>
          <w:sz w:val="24"/>
          <w:szCs w:val="24"/>
        </w:rPr>
        <w:tab/>
      </w:r>
      <w:r>
        <w:rPr>
          <w:rFonts w:ascii="Times New Roman CYR" w:hAnsi="Times New Roman CYR" w:cs="Times New Roman CYR"/>
          <w:sz w:val="24"/>
          <w:szCs w:val="24"/>
        </w:rPr>
        <w:tab/>
        <w:t>60 468</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4 266</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4 407</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прибутки та збитки: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реалiзацiї продукцiї (товарiв, робiт, послуг)</w:t>
      </w:r>
      <w:r>
        <w:rPr>
          <w:rFonts w:ascii="Times New Roman CYR" w:hAnsi="Times New Roman CYR" w:cs="Times New Roman CYR"/>
          <w:sz w:val="24"/>
          <w:szCs w:val="24"/>
        </w:rPr>
        <w:tab/>
        <w:t xml:space="preserve">195 273 </w:t>
      </w:r>
      <w:r>
        <w:rPr>
          <w:rFonts w:ascii="Times New Roman CYR" w:hAnsi="Times New Roman CYR" w:cs="Times New Roman CYR"/>
          <w:sz w:val="24"/>
          <w:szCs w:val="24"/>
        </w:rPr>
        <w:tab/>
      </w:r>
      <w:r>
        <w:rPr>
          <w:rFonts w:ascii="Times New Roman CYR" w:hAnsi="Times New Roman CYR" w:cs="Times New Roman CYR"/>
          <w:sz w:val="24"/>
          <w:szCs w:val="24"/>
        </w:rPr>
        <w:tab/>
        <w:t>99 864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товарiв i послуг протягом року</w:t>
      </w:r>
      <w:r>
        <w:rPr>
          <w:rFonts w:ascii="Times New Roman CYR" w:hAnsi="Times New Roman CYR" w:cs="Times New Roman CYR"/>
          <w:sz w:val="24"/>
          <w:szCs w:val="24"/>
        </w:rPr>
        <w:tab/>
        <w:t>1 220 657</w:t>
      </w:r>
      <w:r>
        <w:rPr>
          <w:rFonts w:ascii="Times New Roman CYR" w:hAnsi="Times New Roman CYR" w:cs="Times New Roman CYR"/>
          <w:sz w:val="24"/>
          <w:szCs w:val="24"/>
        </w:rPr>
        <w:tab/>
      </w:r>
      <w:r>
        <w:rPr>
          <w:rFonts w:ascii="Times New Roman CYR" w:hAnsi="Times New Roman CYR" w:cs="Times New Roman CYR"/>
          <w:sz w:val="24"/>
          <w:szCs w:val="24"/>
        </w:rPr>
        <w:tab/>
        <w:t>1 141 771</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платежi по гарантiям та комiсiї</w:t>
      </w:r>
      <w:r>
        <w:rPr>
          <w:rFonts w:ascii="Times New Roman CYR" w:hAnsi="Times New Roman CYR" w:cs="Times New Roman CYR"/>
          <w:sz w:val="24"/>
          <w:szCs w:val="24"/>
        </w:rPr>
        <w:tab/>
        <w:t>5 359</w:t>
      </w:r>
      <w:r>
        <w:rPr>
          <w:rFonts w:ascii="Times New Roman CYR" w:hAnsi="Times New Roman CYR" w:cs="Times New Roman CYR"/>
          <w:sz w:val="24"/>
          <w:szCs w:val="24"/>
        </w:rPr>
        <w:tab/>
      </w:r>
      <w:r>
        <w:rPr>
          <w:rFonts w:ascii="Times New Roman CYR" w:hAnsi="Times New Roman CYR" w:cs="Times New Roman CYR"/>
          <w:sz w:val="24"/>
          <w:szCs w:val="24"/>
        </w:rPr>
        <w:tab/>
        <w:t>5 404</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Пiдприємства, що мають частку в статутному капiталi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отриманi вiд пов'язаних осiб</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11 700</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прибутки та збитки: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виплату вiдсоткiв по кредитах, отриманим вiд пов'язаних сторiн</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456</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кредитiв, отриманих вiд пов'язаних сторiн, та гарантiї їх повернення описанi у Примiтцi 19(а). Iншi баланси є короткостроковими та безвiдсотковими.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та 2018 роках Товариство не отримувало кредитiв вiд пов'язаних сторiн, але виплатило кредити пов'язаним сторонам на суму 11 629 тисяч гривень та 23 785 тисячi гривень вiдповiдно.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Основа оцiнки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складена на основi принципу iсторичної вартостi.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Основнi принципи облiкової полiтики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Викладенi нижче принципи облiкової полiтики застосовувалися послiдовно до всiх перiодiв, поданих у цiй фiнансовiй звiтностi за винятком змiн у полiтиках, пов'язаних з переходом на МСФЗ 16, що описанi в примiтцi 5.</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w:t>
      </w:r>
      <w:r>
        <w:rPr>
          <w:rFonts w:ascii="Times New Roman CYR" w:hAnsi="Times New Roman CYR" w:cs="Times New Roman CYR"/>
          <w:sz w:val="24"/>
          <w:szCs w:val="24"/>
        </w:rPr>
        <w:tab/>
        <w:t>Доходи вiд основної дiяльностi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отримує дохiд вiд продажу солоду та ячменю, та супутнiх послуг пов'язаних iз транспортуванням продукцiї покупцям та переробкою давальницького ячменю.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визначає договiр з клiєнтом як угоду мiж двома або бiльше сторонами, яка створює права та обов'язки, забезпеченi правовою санкцiєю, де клiєнт - це сторона, що придбає товари та послуги, якi є результатом звичайної дiяльностi Товариства в обмiн на винагороду. Забезпечення прав та обов'язкiв за договором правовою санкцiєю є питанням закону. Бiльшiсть договорiв з клiєнтами складається у письмовiй формi.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 xml:space="preserve">Реалiзацiя продукцiї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оцiнюється на основi винагороди, що очiкується за контрактом з клiєнтом, i виключає суми, отриманi вiд iменi третiх сторiн. Товариство визнає дохiд, коли передає контроль над продукцiєю або послугою клiєнту. Доходи представленi за вирахуванням очiкуваних вiдшкодувань та знижок клiєнтам.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реалiзує товари за контрактами з рiзними умовами їх доставки та умовами передачi ризикiв та винагороди.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визнає продаж товарiв, коли клiєнт отримує над ними контроль. Ознаки того, чи був переданий контроль, оцiнюються керiвним персоналом для кожного контракту, та включають клiєнта, який: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має поточне зобов'язання здiйснити оплату;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фiзично володiє;</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має юридичне право;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прийняв ризики та вигоди вiд володiння; а також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прийняв актив.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солоду та ячменю включає в себе надання декiлькох комплексних послуг, наприклад доставку вантажу або вироблення солоду iз давальницького ячменю. Тим не менш, усi вищезазначенi послуги розглядаються як сукупнiсть складових iз одним чiтким результатом - товар переданий покупцю. Тому для всiх складових цього процесу iснує лише одне окреме зобов'язання до виконання.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Контракти iз покупцями  встановлюють конкретну кiлькiсть продукцiї, що має бути продана в певний момент часу. Тому дохiд визнається в момент переходу контролю до покупця. Рахунки-фактури виставляються пiсля поставки  певної частини (партiї) продукцiї покупцю i пiдлягають оплатi впродовж 40-90 днiв.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Оскiльки iснує тiльки одне окреме зобов'язання до виконання, немає потреби розподiляти вартiсть операцiї мiж кiлькома зобов'язаннями. Вартiсть послуг представлена фiксованими цiнами за кожну тону продукцiї.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Жодних знижок покупцям не передбачено.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контрактiв, якi дозволяють контрагенту мати право на повернення товару, згiдно iз МСФЗ 15 дохiд визнається в тiй мiрi, в якiй iснує висока вiрогiднiсть того, що iстотне скасування суми визнаного доходу не вiдбудеться. Тому визнана сума доходу скорегована на очiкуванi повернення товарiв, що базуються на iсторичнiй iнформацiї. Повернення товарiв вiдбувається тiльки у формi замiни на новi - тобто, вiдшкодування грошових коштiв не пропонується. За таких обставин визнається зобов'язання по вiдшкодуванню та право на повернений товар.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ходi бiльшостi своїх операцiй з продажiв товарiв Товариство передає контроль та визнає реалiзацiю у момент, коли товари було передано у розпорядження покупцевi у визначеному мiсцi, пiсля чого покупець несе всi витрати та ризики, пов'язанi з цими товарами. Вiдповiдна доставка та завантаження здiйснюються до того, як контроль над товаром був переданий покупцю, i не визнається окремого обов'язку щодо виконання зобов'язань, пов'язаних iз </w:t>
      </w:r>
      <w:r>
        <w:rPr>
          <w:rFonts w:ascii="Times New Roman CYR" w:hAnsi="Times New Roman CYR" w:cs="Times New Roman CYR"/>
          <w:sz w:val="24"/>
          <w:szCs w:val="24"/>
        </w:rPr>
        <w:lastRenderedPageBreak/>
        <w:t>транспортуванням та завантаженням.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 xml:space="preserve">Компоненти фiнансування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очiкує, що воно не матиме договорiв, за якими перiод мiж передачею обiцяних товарiв або послуг покупцевi та їх оплатою покупцем становитиме бiльше одного року. Внаслiдок цього, як практичне звiльнення, Товариство не вносить коригувань щодо цiн операцiй з урахуванням впливу суттєвого компоненту фiнансування, якщо Товариство очiкує, на дату заключення контракту, що перiод мiж передачею обiцяних товарiв та послуг за контрактом клiєнту та оплатою за цi товари та послуги буде менше нiж один рiк.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Фiнансовi витрати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включають витрати на виплату вiдсоткiв по позиках, iнших витрат за кредитними угодами, платежi по гарантiях та комiсiї, вiдсоткiв за актуарними розрахунками.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якi не вiдносяться безпосередньо до придбання, будiвництва або виробництва квалiфiкованого активу, визнаються у прибутку або збитку з використанням методу ефективного вiдсотка.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Прибутки та збитки вiд курсових рiзниць вiдображаються на нетто-основi як фiнансовi доходи або фiнансовi витрати, залежно вiд динамiки курсiв обмiну, що призводить до отримання прибуткiв чи понесення збиткiв.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Iноземна валюта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операцiї в iноземних валютах перераховуються у функцiональну валюту Товариства за курсами обмiну, що дiють на початок дня дати здiйснення операцiй. Монетарнi активи та зобов'язання, деномiнованi в iноземних валютах на дату звiтностi, перераховуються у функцiональну валюту за курсом обмiну, що дiє на кiнець дня дати звiтностi. Прибутки або збитки вiд курсових рiзниць по монетарних статтях являють собою рiзницю мiж амортизованою вартiстю у функцiональнiй валютi на початок звiтного перiоду, скоригованою з урахуванням ефективної процентної ставки (якщо така застосовувалася) та платежiв за перiод, та амортизованою вартiстю в iноземнiй валютi, перерахованою за курсом обмiну на початок дня для поточних операцiй та кiнець звiтного перiоду по монетарним статтям балансу активiв та зобов'язань.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Немонетарнi статтi, деномiнованi в iноземних валютах, якi вiдображаються за iсторичною вартiстю, перераховуються за курсом обмiну на початок дня дати операцiї.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w:t>
      </w:r>
      <w:r>
        <w:rPr>
          <w:rFonts w:ascii="Times New Roman CYR" w:hAnsi="Times New Roman CYR" w:cs="Times New Roman CYR"/>
          <w:sz w:val="24"/>
          <w:szCs w:val="24"/>
        </w:rPr>
        <w:tab/>
        <w:t>Податок на прибуток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включають суми поточного i вiдстроченого податкiв. Податок на прибуток визнається у прибутку або збитку, за винятком тих випадкiв, коли вiн вiдноситься до статей, вiдображених безпосередньо у власному капiталi чи в iншому сукупному доходi.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 складається з очiкуваного податку до сплати чи до вiдшкодування, розрахованого на основi оподатковуваного прибутку або збитку за рiк, з використанням ставок оподаткування, що дiють або фактично дiють на звiтну дату, та будь-яких коригувань податку, що пiдлягає сплатi за попереднi роки. Поточний податок до сплати також включає будь-яке податкове зобов'язання, що виникає внаслiдок оголошення дивiдендiв.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визнається по тимчасових рiзницях мiж балансовими сумами активiв та зобов'язань, що використовуються для цiлей пiдготовки фiнансової звiтностi, i сумами, що використовуються для цiлей оподаткування. Вiдстрочений податок не розраховується: по тимчасових рiзницях, що виникають вiд початкового визнання активiв або зобов'язань за операцiями, що не є об'єднанням бiзнесу, яке не впливає нi на облiковий, нi на оподатковуваний прибуток або збиток, а також по тимчасових рiзницях, що виникають вiд iнвестицiй у дочiрнi пiдприємства та спiльно контрольованi суб'єкти господарювання, якщо iснує ймовiрнiсть того, що тимчасовi рiзницi не будуть сторнованi у найближчому майбутньому.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вiдстроченого податку розраховується за ставками оподаткування, якi, як очiкується, будуть застосовуватись до тимчасових рiзниць на момент їх сторнування згiдно iз законодавством, яке буде чинним або практично введеним в дiю на дату звiтностi.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активи та зобов'язання взаємозараховуються у разi iснування юридично </w:t>
      </w:r>
      <w:r>
        <w:rPr>
          <w:rFonts w:ascii="Times New Roman CYR" w:hAnsi="Times New Roman CYR" w:cs="Times New Roman CYR"/>
          <w:sz w:val="24"/>
          <w:szCs w:val="24"/>
        </w:rPr>
        <w:lastRenderedPageBreak/>
        <w:t>забезпеченого права на взаємозарахування поточних податкових активiв та зобов'язань, якщо вони вiдносяться до податку на прибуток, що стягується тими самими податковими органами з того самого суб'єкта господарювання, що обкладається податком, або з рiзних суб'єктiв господарювання, що обкладаються податком, однак при цьому вони мають намiр провести взаємозарахування поточних податкових зобов'язань та активiв на нетто-основi або їх податковi активи та зобов'язання будуть реалiзованi одночасно.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податковий актив визнається по невикористаних податкових збитках, податкових кредитах та тимчасових рiзницях, що вiдносяться на витрати, якщо iснує ймовiрнiсть отримання в майбутньому оподатковуваного прибутку, за рахунок якого вони можуть бути реалiзованi. Вiдстроченi податковi активи переглядаються на кожну дату звiтностi та зменшуються, коли реалiзацiя вiдповiдної податкової вигоди бiльше не є вiрогiдною.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ab/>
        <w:t>Запаси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за меншою з двох вартостей: за собiвартiстю або за чистою вартiстю реалiзацiї. Вартiсть запасiв визначається за методом середньозваженої собiвартостi i включає витрати на придбання запасiв, витрати на доставку запасiв до мiсця переробки чи використання, витрати на виробництво або переробку. Вартiсть виготовлених запасiв та незавершеного виробництва включає вiдповiдну частину розподiлених умовно-постiйних виробничих витрат, розраховану виходячи з обсягiв виробництва та нормальної виробничої потужностi. Нормальною виробничою потужнiстю вважається рiчна потужнiсть 125 000 тон продукцiї в рiк, як середнiй показник роботи товариства в нормальних умовах. При мiсячному завантаженнi виробництва на 90% та бiльше розподiл умовно-постiйних витрат не проводиться, всi умовно-постiйнi виробничi витрати вiдносяться на вартiсть виробництва продукцiї.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Чистою вартiстю реалiзацiї є оцiнена вартiсть продажу в ходi звичайної дiяльностi, за вирахуванням оцiнених затрат на завершення та реалiзацiю.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w:t>
      </w:r>
      <w:r>
        <w:rPr>
          <w:rFonts w:ascii="Times New Roman CYR" w:hAnsi="Times New Roman CYR" w:cs="Times New Roman CYR"/>
          <w:sz w:val="24"/>
          <w:szCs w:val="24"/>
        </w:rPr>
        <w:tab/>
        <w:t>Основнi засоби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Визнання та оцiнка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засобiв пiдприємства вiдносяться активи, що використовуються в процесi виробництва чи поставцi товарiв, надання послуг на протязi бiльше 365 календарних днiв. Визнаний об'єкт основних засобiв облiковується по собiвартостi за вирахуванням накопиченої амортизацiї та збиткiв вiд зменшення корисностi до всiх класiв основних засобiв. Застосовуються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один об'єкт основних засобiв складається з частин, якi мають рiзний строк корисного використання, то кожна з цих частин може визнаватися в облiку окремим об'єктом. Для визнання основних засобiв або їх частин, окремими об'єктами, визначення та перегляду строку їх корисного використання, лiквiдацiйної вартостi створена постiйно дiюча експертна технiчна комiсiя.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 капiталiзованi вiдсотки по кредитам за облiковою полiтикою, та iншi витрати, безпосередньо пов'язанi з придбанням активу.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Подальшi витрати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пов'язанi з модернiзацiєю, модифiкацiєю, добудовою, дообладнанням, окремих робiт з капiтального ремонту, реконструкцiєю об'єкта основних засобiв, що призводять до збiльшення майбутнiх економiчних вигод, збiльшують первiсну вартiсть основних засобiв. При цьому припиняється визнання балансової вартостi замiнної частини.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здiйсненi для пiдтримання активiв в робочому станi (утримання, експлуатацiя, ремонт) </w:t>
      </w:r>
      <w:r>
        <w:rPr>
          <w:rFonts w:ascii="Times New Roman CYR" w:hAnsi="Times New Roman CYR" w:cs="Times New Roman CYR"/>
          <w:sz w:val="24"/>
          <w:szCs w:val="24"/>
        </w:rPr>
        <w:lastRenderedPageBreak/>
        <w:t>включаються до складу витрат перiоду, в якому вони понесенi.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про вiднесення витрат на збiльшення первiсної вартостi основного засобу або до складу витрат перiоду приймається керiвником пiдприємства та головним технiчним керiвником з урахуванням результатiв аналiзу iснуючої ситуацiї та суттєвостi таких витрат. У разi необхiдностi для прийняття рiшення створюється комiсiя у складi спецiалiстiв пiдприємства.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Знос</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одиниць основних засобiв нараховується з моменту, коли вони встановленi та готовi до використання, або, якщо йдеться про активи, створенi власними силами суб'єкта господарювання, з моменту, коли створення активу завершено i вiн готовий до використання. Знос нараховується на основi вартостi активу, зменшеної на його лiквiдацiйну вартiсть. Товариство проводить оцiнку компонентiв окремих активiв, i якщо будь-який компонент має строк корисного використання, вiдмiнний вiд строкiв використання решти компонентiв такого активу, такий компонент амортизується окремо.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визнається у прибутку або збитку за прямолiнiйним методом протягом оцiнених строкiв корисного використання кожного компонента одиницi основних засобiв, оскiльки така практика найбiльш точно вiдображає очiкуване використання майбутнiх економiчних вигод, притаманних цьому активу. Знос орендованих активiв нараховується протягом меншого з двох строкiв: строку їх корисного використання або строку оренди, крiм випадкiв, коли можна об?рунтовано вважати, що Товариство отримає право власностi до кiнця строку оренди. Знос на землю не нараховується.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Оцiненi строки корисного використання значних одиниць основних засобiв для поточного та порiвняльного перiодiв такi: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15-50 рокiв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2-20 рокiв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5 рокiв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4-20 рокiв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Методи нарахування зносу, строки корисного використання та лiквiдацiйна вартiсть основних засобiв аналiзуються в кiнцi кожного фiнансового року та коригуються в разi необхiдностi.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w:t>
      </w:r>
      <w:r>
        <w:rPr>
          <w:rFonts w:ascii="Times New Roman CYR" w:hAnsi="Times New Roman CYR" w:cs="Times New Roman CYR"/>
          <w:sz w:val="24"/>
          <w:szCs w:val="24"/>
        </w:rPr>
        <w:tab/>
        <w:t>Нематерiальнi активи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Визнання та оцiнка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 iдентифiкованi немонетарнi активи, що не мають фiзичної форми. Визнаються, якщо можуть бути: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вiдокремленнi вiд пiдприємства, проданi, переданi, зданi в оренду не залежно, чи має пiдприємство намiр на такi дiї; або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результатом договiрних або юридичних прав незалежно вiд того, чи можна цi права передавати чи вiддiляти вiд пiдприємства.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Визнаний нематерiальний актив облiковується по собiвартостi за вирахування накопиченої амортизацiї та збиткiв вiд зменшення корисностi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Подальшi витрати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капiталiзуються тiльки тодi, коли вони збiльшують економiчнi вигоди, якi може принести даний актив у майбутньому. Всi iншi витрати визнаються у прибутку або збитку в тому перiодi, в якому вони були понесенi.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Амортизацiя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на вартiсть придбання активу, або на iншу суму, яка використовується замiсть вартостi, за вирахуванням його лiквiдацiйної вартостi.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визнається у прибутку або збитку за прямолiнiйним методом протягом оцiнених строкiв корисного використання нематерiальних активiв, починаючи з дати, коли активи є готовими до використання, оскiльки це найбiльш точно вiдображає очiкуване використання майбутнiх економiчних вигод, притаманних активу.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прав користування природними ресурсами та програмного забезпечення встановлюються вiдповiдно до правовстановлюючих документiв.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Методи нарахування амортизацiї, строки корисного використання та лiквiдацiйна вартiсть нематерiальних активiв аналiзуються в кiнцi кожного фiнансового року та коригуються в разi необхiдностi.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(ж)</w:t>
      </w:r>
      <w:r>
        <w:rPr>
          <w:rFonts w:ascii="Times New Roman CYR" w:hAnsi="Times New Roman CYR" w:cs="Times New Roman CYR"/>
          <w:sz w:val="24"/>
          <w:szCs w:val="24"/>
        </w:rPr>
        <w:tab/>
        <w:t>Фiнансовi iнструменти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Визнання та початкова оцiнка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торгової дебiторської заборгованостi та випущених боргових цiнних паперiв здiйснюється на дату їх видачi/виникнення.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всiх iнших фiнансових активiв та фiнансових зобов'язань здiйснюється на дату укладення угоди, коли Товариство стає стороною договору про фiнансовий iнструмент. Фiнансовий актив (якщо вiн не є дебiторською заборгованiстю без суттєвої фiнансової складової) або фiнансове зобов'язання спочатку оцiнюється за справедливою вартiстю, плюс, в разi, якщо вони не вiдображаються за справедливою вартiстю, з вiдображенням результату переоцiнки як прибуткiв або збиткiв (FVTPL), витрати на операцiю, безпосередньо пов'язанi з його придбанням або емiсiєю. Первiсна оцiнка торгової дебiторської заборгованiсть без суттєвої фiнансової складової вiдбувається за цiною операцiї.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фiнансових активiв Товариством вiдбувається, якщо закiнчується строк дiї прав Товариства вiдповiдно до договору на отримання грошових коштiв вiд фiнансових активiв або якщо воно передає передбаченi договором права на отримання грошових коштiв вiд фiнансових активiв в рамках операцiї без збереження практично всiх ризикiв та вигод, пов'язаних iз правом володiння фiнансовим активом.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припиняє визнання фiнансового зобов'язання, коли зазначенi у договорi зобов'язання були виконанi, анульованi або строк їх дiї закiнчився. Товариство також припиняє визнання фiнансового зобов'язання, коли його умови змiненi, а грошовi потоки вiд модифiкованого зобов'язання суттєво вiдрiзняються вiд попереднiх; в цьому випадку нове фiнансове зобов'язання, що базується на модифiкованих умовах, визнається за справедливою вартiстю.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разi припинення визнання фiнансового зобов'язання рiзниця мiж балансовою вартiстю та сплаченою винагородою (включаючи будь-якi переданi негрошовi активи або прийнятi на себе зобов'язання) визнається у звiтi фiнансовi результати (звiтi про сукупний дохiд).</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Класифiкацiя та подальша оцiнка фiнансових активiв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первiсному визнаннi фiнансовий актив класифiкується як: оцiнений за амортизованою вартiстю; за справедливою вартiстю з вiдображенням результату переоцiнки в iншому сукупному доходi (FVOCI) - борговi iнвестицiйнi цiннi папери; FVOCI - iнвестицiї в капiтал iнших суб'єктiв господарювання; або за справедливою вартiстю, з вiдображенням переоцiнки у прибутку або збитку (FVTPL).</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не перекласифiкуються пiсля їх первiсного визнання, якщо тiльки Товариство не змiнює свою бiзнес-модель з управлiння фiнансовими активами, у такому разi всi вiдповiднi фiнансовi активи перекласифiкуються в перший день першого звiтного перiоду пiсля змiни бiзнес-моделi.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оцiнюється за амортизованою вартiстю, якщо вiн вiдповiдає обом наступним умовам i не оцiнюється за справедливою вартiстю, з вiдображенням переоцiнки у прибутку або збитку (FVTPL):</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вiн утримується в рамках бiзнес-моделi, метою якої є утримання активiв для отримання передбачених договором грошових потокiв, 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його договiрнi умови передбачають виникнення у встановленi термiни грошових потокiв, якi являють собою виплату виключно основної суми i процентiв на непогашену частину основної суми.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iнвестицiйнi цiннi папери оцiнюється за справедливою вартiстю з вiдображенням результату переоцiнки в iншому сукупному доходi (FVOCI), якщо вони вiдповiдають обом наступним умовам i не оцiнюється за справедливою вартiстю, з вiдображенням переоцiнки у прибутку або збитку (FVTPL):</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вони утримується в рамках бiзнес-моделi, мета якої досягається як шляхом отримання </w:t>
      </w:r>
      <w:r>
        <w:rPr>
          <w:rFonts w:ascii="Times New Roman CYR" w:hAnsi="Times New Roman CYR" w:cs="Times New Roman CYR"/>
          <w:sz w:val="24"/>
          <w:szCs w:val="24"/>
        </w:rPr>
        <w:lastRenderedPageBreak/>
        <w:t>передбачених договором грошових потокiв, так i шляхом продажу фiнансових активiв, 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їх договiрнi умови передбачають виникнення у встановленi термiни грошових потокiв, якi являють собою виплату виключно основної суми i процентiв на непогашену частину основної суми.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первiсному визнаннi iнвестицiї в капiтал, яка не утримується для торгiвлi, Товариство може безвiдклично обрати вiдображати подальшi змiни справедливої вартостi iнвестицiї в iншому сукупному доходi. Такий вибiр здiйснюється для кожної iнвестицiї окремо.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фiнансовi активи, якi не класифiкуються як оцiненi за амортизованою вартiстю, або FVOCI, як описано вище, оцiнюються за FVTPL. При первiсному визнаннi Товариство може безвiдклично оцiнювати фiнансовий актив, який в iншому випадку пiдлягає оцiнцi за амортизованою вартiстю, або за справедливою вартiстю з вiдображенням результату переоцiнки в iншому сукупному доходi (FVOCI) або за справедливою вартiстю, з вiдображенням переоцiнки у прибутку або збитку (FVTPL), якщо такий пiдхiд повнiстю або суттєво прибирає ефект невiдповiдностi у бухгалтерському облiку, що iнакше мав би мiсце.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Товариства включають торгову та iншу дебiторську заборгованiсть, а також грошовi кошти та їх еквiваленти, та класифiкуються як фiнансовi активи за категорiєю амортизованої вартостi. Цi активи згодом оцiнюються за амортизованою вартiстю з використанням методу ефективної процентної ставки. Амортизована вартiсть зменшується на суму збиткiв вiд зменшення корисностi. Процентний дохiд, прибутки та збитки вiд курсових рiзниць та зменшення корисностi визнаються у звiтi про прибутки та збитки. Будь-який прибуток або збиток при припиненнi визнання визнається в прибутку чи збитку.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залишки коштiв на поточних рахунках, у касi, грошовi кошти у дорозi та депозити на вимогу та високолiквiднi iнвестицiї з початковим строком погашення до 3 мiсяцiв з дати придбання iз несуттєвим ризиком змiн справедливої вартостi.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подальшiй оцiнцi фiнансових активiв застосовуються принципи облiкової полiтики, що наведенi нижче.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оцiнюються за FVTPL</w:t>
      </w:r>
      <w:r>
        <w:rPr>
          <w:rFonts w:ascii="Times New Roman CYR" w:hAnsi="Times New Roman CYR" w:cs="Times New Roman CYR"/>
          <w:sz w:val="24"/>
          <w:szCs w:val="24"/>
        </w:rPr>
        <w:tab/>
        <w:t>Цi активи в подальшому оцiнюються за справедливою вартiстю. Чистi прибутки та збитки, включаючи будь-який процентний до-хiд або дохiд вiд дивiдендiв, визнаються у прибутках або збитках.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оцiнюються за амортизованою вартiстю</w:t>
      </w:r>
      <w:r>
        <w:rPr>
          <w:rFonts w:ascii="Times New Roman CYR" w:hAnsi="Times New Roman CYR" w:cs="Times New Roman CYR"/>
          <w:sz w:val="24"/>
          <w:szCs w:val="24"/>
        </w:rPr>
        <w:tab/>
        <w:t>Цi активи згодом оцiнюються за амортизованою вартiстю з вико-ристанням методу ефективної процентної ставки. Амортизована вартiсть зменшується на величину збиткiв вiд зменшення корис-ностi (Див. параграф (i) нижче). Процентний дохiд, прибутки та збитки вiд курсових рiзниць та зменшення корисностi визнаються у прибутку чи збитку. Будь-який прибуток чи збиток, що виник в результатi припинення визнання, визнається у складi прибутку або збитку.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iнвестицiї, що оцiнюються за FVOCI</w:t>
      </w:r>
      <w:r>
        <w:rPr>
          <w:rFonts w:ascii="Times New Roman CYR" w:hAnsi="Times New Roman CYR" w:cs="Times New Roman CYR"/>
          <w:sz w:val="24"/>
          <w:szCs w:val="24"/>
        </w:rPr>
        <w:tab/>
        <w:t>Цi активи в подальшому оцiнюються за справедливою вартiстю. Процентний дохiд, що розраховується з використанням методу ефективного вiдсотка, прибутки та збитки вiд курсових рiзниць та зменшення корисностi визнаються у прибутку чи збитку. Iншi чистi прибутки та збитки визнаються в iншому сукупному доходi. При припиненнi визнання, прибутки та збитки, накопиченi в iншому сукупному доходi, рекласифiковуються в прибуток або збиток.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Iнвестицiї в капiтал iнших суб'єктiв господарювання, що оцiнюються за FVOCI</w:t>
      </w:r>
      <w:r>
        <w:rPr>
          <w:rFonts w:ascii="Times New Roman CYR" w:hAnsi="Times New Roman CYR" w:cs="Times New Roman CYR"/>
          <w:sz w:val="24"/>
          <w:szCs w:val="24"/>
        </w:rPr>
        <w:tab/>
        <w:t>Цi активи в подальшому оцiнюються за справедливою вартiстю. Дивiденди визнаються як дохiд у прибутку чи збитку, якщо вони не є очевидним вiдшкодуванням частини собiвартостi iнвестицiї. Iншi чистi прибутки та збитки визнаються в iншому сукупному доходi i нiколи не рекласифiковуються в прибуток або збиток.</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 xml:space="preserve">Фiнансовi зобов'язання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класифiкуються як оцiненi за амортизованою вартiстю або за справедливою вартiстю, з вiдображенням переоцiнки у прибутку або збитку (FVTPL). Фiнансове </w:t>
      </w:r>
      <w:r>
        <w:rPr>
          <w:rFonts w:ascii="Times New Roman CYR" w:hAnsi="Times New Roman CYR" w:cs="Times New Roman CYR"/>
          <w:sz w:val="24"/>
          <w:szCs w:val="24"/>
        </w:rPr>
        <w:lastRenderedPageBreak/>
        <w:t>зобов'язання класифiкується як оцiнене за справедливою вартiстю, з вiдображенням переоцiнки у прибутку або збитку (FVTPL), якщо воно вiдповiдає визначенню утримуваного для торгiвлi або визначається як таке при первiсному визнаннi. Фiнансовi зобов'язання, що оцiнюються за справедливою вартiстю, з вiдображенням переоцiнки у прибутку або збитку (FVTPL), оцiнюються за справедливою вартiстю, а чистi прибутки та збитки, включаючи будь-якi процентнi витрати, визнаються у прибутках або збитках (крiм змiн за рахунок змiни кредитного рейтингу Товариства, що визнаються через iнший сукупний дохiд).</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зобов'язання згодом оцiнюються за амортизованою вартiстю з використанням методу ефективної процентної ставки. Процентний дохiд, прибутки та збитки вiд курсових рiз-ниць визнаються у звiтi про прибутки та збитки. Будь-який прибуток або збиток при припиненнi визнання визнається в прибутку чи збитку.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оцiнює всi свої фiнансовi зобов'язання за амортизованою вартiстю.</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Акцiонерний капiтал</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Простi акцiї класифiкуються як власний капiтал. Додатковi витрати, якi безпосередньо стосуються випуску нових акцiй, вiдображаються у складi власного капiталу як вирахування, за виключенням податку, iз надходжень.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w:t>
      </w:r>
      <w:r>
        <w:rPr>
          <w:rFonts w:ascii="Times New Roman CYR" w:hAnsi="Times New Roman CYR" w:cs="Times New Roman CYR"/>
          <w:sz w:val="24"/>
          <w:szCs w:val="24"/>
        </w:rPr>
        <w:tab/>
        <w:t>Зменшення корисностi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Зменшення корисностi - фiнансовi активи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використовує модель "очiкуваних кредитних збиткiв" ("ECL" або "ОКЗ"). Ця модель зменшення корисностi застосовується до фiнансових iнструментiв, якi оцiнюються за амортизованою вартiстю, контрактних активiв та боргових iнвестицiйних цiнних паперiв, якi оцiнюються за FVOCI, але не застосовується до iнвестицiй в iнструменти капiталу.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що оцiнюються за амортизованою вартiстю, складаються з торгової дебiторської заборгованостi i грошових коштiв та їх еквiвалентiв.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резерву на покриття збиткiв оцiнюється на основi однiєї з пiдстав: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очiкуваних кредитних збиткiв за 12 мiсяцiв, що виникають внаслiдок подiй дефолту, можливих протягом 12 мiсяцiв пiсля звiтної дати; 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безстрокових очiкуваних кредитних збиткiв, що виникають внаслiдок усiх можливих випадкiв дефолту протягом усього очiкуваного строку дiї фiнансового iнструмента.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Резерви на покриття збиткiв за торговою дебiторською заборгованiстю завжди оцiнюються сумою, що дорiвнює сумi безстрокових ОКЗ.</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вважає, що значне пiдвищення кредитного ризику має мiсце, якщо кiлькiсть днiв простроченої заборгованостi за фiнансовим активом перевищує 180 днiв.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вiдноситься Товариством до фiнансових активiв, за якими настала подiя дефолту, у таких випадках:</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малоймовiрно, що кредитнi зобов'язання постачальника перед Товариством будуть погашенi в повному обсязi без застосування Товариством таких дiй, як реалiзацiя забезпечення (за його наявностi); або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кiлькiсть днiв простроченої заборгованостi за фiнансовим активом перевищує 180 днiв.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Максимальним перiодом при оцiнцi ОКЗ є максимальний перiод за договором, протягом якого Товариство наражається на кредитний ризик.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очiкуваних кредитних збиткiв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Очiкуванi кредитнi збитки являють собою розрахункову оцiнку, зважену з урахуванням ймовiрностi кредитних збиткiв. Кредитнi збитки оцiнюються як теперiшня вартiсть усiх очiкуваних недоотримань грошових коштiв (тобто рiзниця мiж грошовими потоками, що належать Товариству вiдповiдно до договору, i грошовими потоками, якi Товариство очiкує отримати).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Очiкуванi кредитнi збитки дисконтуються за ефективною процентною ставкою фiнансового активу.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Кредитно-знецiненi фiнансовi активи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кожну звiтну дату Товариство оцiнює, чи є кредитно-знецiненими фiнансовi активи, що облiковуються за амортизованою вартiстю, та борговi цiннi папери, оцiнюванi за справедливою вартiстю через iнший сукупний дохiд. Вважається, що вiдбувається зменшення корисностi фiнансового активу, коли має мiсце одна чи бiльше подiй, що мають значний негативний вплив на очiкуванi майбутнi грошовi потоки вiд фiнансового активу.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Подання зменшення корисностi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резерву пiд збитки вiд фiнансових активiв, що оцiнюються за амортизованою вартiстю, вираховуються з валової балансової вартостi активiв.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Втрати вiд зменшення кориснотi фiнансових активiв включаються до складу фiнансових витрат та не показуються окремо у звiтi про фiнансовi результати через мiркування суттєвостi.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Нефiнансовi активи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нефiнансових активiв Товариства, за винятком запасiв та вiдстрочених податкових активiв, перевiряється на кожну дату звiтностi з метою виявлення будь-яких ознак зменшення їх корисностi. Якщо такi ознаки iснують, проводиться оцiнка сум очiкуваного вiдшкодування активiв. Суми очiкуваного вiдшкодування нематерiальних активiв, що мають невизначенi строки корисного використання або ще не готовi до використання, оцiнюються щороку у той самий час. Збиток вiд зменшення корисностi визнається тодi, коли балансова вартiсть активу або його одиницi, що генерує грошовi кошти (ОГГК), перевищує суму очiкуваного вiдшкодування.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Сумою очiкуваного вiдшкодування активу чи ОГГК є бiльша з двох вартостей: вартiсть у використаннi чи справедлива вартiсть за вирахуванням витрат на реалiзацiю. При оцiнцi вартостi у використаннi очiкуванi в майбутньому грошовi потоки дисконтуються до їх теперiшньої вартостi з використанням ставки дисконту без урахування ставки оподаткування, яка вiдображає поточнi ринковi оцiнки вартостi грошових коштiв у часi та ризики, притаманнi вiдповiдному активу або ОГГК. Для цiлей тестування на предмет зменшення корисностi активи, якi не можуть бути перевiренi iндивiдуально, об'єднуються у найменшу групу активiв, що генерує приток грошових коштiв вiд безперервного використання вiдповiдного активу, що практично не залежить вiд притоку грошових коштiв вiд iнших активiв чи груп активiв або ОГГК.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зменшення корисностi визнаються у прибутку або збитку. Збитки вiд зменшення корисностi, визнанi стосовно ОГГК, розподiляються для зменшення балансової вартостi активiв у одиницi (групi одиниць) на пропорцiйнiй основi.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зменшення корисностi активiв, визнанi у попереднiх перiодах, оцiнюються в кожну звiтну дату на предмет будь-яких ознак того, що збиток зменшився або бiльше не iснує. Збиток вiд зменшення корисностi сторнується, якщо вiдбулася змiна оцiнок, що використовуються для визначення суми вiдшкодування. Збиток вiд зменшення корисностi сторнується тiльки у випадку, якщо балансова вартiсть активу не перевищує балансову вартiсть, що була б визначена, за вирахуванням амортизацiї, якби збиток вiд зменшення корисностi не був визнаний взагалi.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Винагорода працiвникам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Короткостроковi виплати працiвникам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з короткострокових виплат працiвникам оцiнюються на основi недисконтованих грошових потокiв i вiдносяться на витрати по мiрi надання вiдповiдних послуг. Зобов'язання визнається на суму, яка, як очiкується, буде виплачена за програмою короткострокових премiй у грошовiй формi або за програмою участi у прибутках, якщо Товариство має юридичне або конструктивне зобов'язання виплачувати таку суму в результатi послуг, наданих працiвниками ранiше, i таке зобов'язання може бути достовiрно оцiнене.</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w:t>
      </w:r>
      <w:r>
        <w:rPr>
          <w:rFonts w:ascii="Times New Roman CYR" w:hAnsi="Times New Roman CYR" w:cs="Times New Roman CYR"/>
          <w:sz w:val="24"/>
          <w:szCs w:val="24"/>
        </w:rPr>
        <w:tab/>
        <w:t>Державна пенсiйна програма з визначеним внеском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Пенсiйна програма з визначеним внеском - це програма, за якою суб'єкт господарювання </w:t>
      </w:r>
      <w:r>
        <w:rPr>
          <w:rFonts w:ascii="Times New Roman CYR" w:hAnsi="Times New Roman CYR" w:cs="Times New Roman CYR"/>
          <w:sz w:val="24"/>
          <w:szCs w:val="24"/>
        </w:rPr>
        <w:lastRenderedPageBreak/>
        <w:t>здiйснює вiдрахування на фiксовану суму окремому суб'єкту господарювання i не має у подальшому юридичних чи очiкуваних зобов'язань здiйснювати подальшi виплати. Товариство сплачує єдиний внесок на загальнообов'язкове державне соцiальне страхування на суму, яка розраховується на основi заробiтної плати кожного працiвника. Цi суми вiдносяться на витрати в тому перiодi, в якому працiвники заробили компенсацiю за наданi послуги.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w:t>
      </w:r>
      <w:r>
        <w:rPr>
          <w:rFonts w:ascii="Times New Roman CYR" w:hAnsi="Times New Roman CYR" w:cs="Times New Roman CYR"/>
          <w:sz w:val="24"/>
          <w:szCs w:val="24"/>
        </w:rPr>
        <w:tab/>
        <w:t>Пенсiйна програма з визначеними виплатами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Програма з визначеною виплатою - це програма виплат працiвникам пiсля закiнчення трудових вiдносин з ними, яка не є програмою з визначеними внесками. Товариство здiйснює разовi виплати працiвникам, якi мають тривалий стаж роботи, у зв'язку з їх виходом на пенсiю. Така виплата залежить вiд стажу роботи вiдповiдного працiвника у Товариствi. Зазначенi зобов'язання покриваються грошовими коштами вiд операцiйної дiяльностi. Для фiнансування цих зобов'язань не видiляються спецiальнi активи програми.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сума зобов'язання Товариства за пенсiйними планами з визначеними виплатами розраховується окремо для кожної програми шляхом оцiнки суми майбутнiх виплат, якi працiвник заробив за надання своїх послуг у поточному i попереднiх перiодах. Пiсля цього сума виплат дисконтується з метою визначення її приведеної вартостi, а всi невизнанi суми вартостi ранiше наданих послуг та справедлива вартiсть активiв програми пiдлягають вирахуванню для цiлей оподаткування. Ставка дисконтування визначається на основi iнформацiї з рiзних джерел, включаючи показники доходностi на звiтну дату по українських державних облiгацiях та високолiквiдних корпоративних довгострокових облiгацiях. Валюта та умови розмiщення облiгацiй вiдповiдають валютi та умовам пенсiйних зобов'язань.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за цими зобов'язаннями нараховуються в цiй фiнансовiй звiтностi з використанням методу прогнозованої умовної одиницi для працiвникiв, якi мають право на такi виплати.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Переоцiнки, що виникають у зв'язку з пенсiйними програмами з визначеними виплатами, включають актуарнi прибутки та збитки. Товариство негайно визнає такi переоцiнки в iншому сукупному доходi, а всi iншi витрати, пов'язанi з пенсiйними програмами з визначеними виплатами, - у складi виплат персоналу у прибутку або збитку.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змiни виплат за програмою або її скорочення, частка змiнених виплат, що вiдноситься до надання працiвниками послуг у минулому, або прибуток чи збиток вiд скорочення визнаються негайно у прибутку або збитку у момент, коли вiдбуваються змiни або скорочення програми.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Скорочення має мiсце, коли суб'єкт господарювання або 1) продемонстрував свiй намiр суттєво скоротити кiлькiсть працiвникiв, охоплених програмою, або 2) змiнює умови програми з фiксованими виплатами, в результатi чого суттєвий елемент вартостi майбутнiх послуг iснуючих працiвникiв бiльше не буде давати права на виплати чи буде давати право тiльки на меншi виплати. При скороченнi програми Товариство визнає прибутки або збитки вiд скорочення програми з визначеними виплатами по мiрi здiйснення скорочень.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w:t>
      </w:r>
      <w:r>
        <w:rPr>
          <w:rFonts w:ascii="Times New Roman CYR" w:hAnsi="Times New Roman CYR" w:cs="Times New Roman CYR"/>
          <w:sz w:val="24"/>
          <w:szCs w:val="24"/>
        </w:rPr>
        <w:tab/>
        <w:t>Резерви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визнається тодi, коли внаслiдок подiї, що сталася в минулому, Товариство має юридичне або конструктивне зобов'язання, яке може бути оцiнене достовiрно, i коли iснує ймовiрнiсть того, що погашення даного зобов'язання буде пов'язано iз зменшенням економiчних вигод.</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       Оренда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 застосовувалась до 1 сiчня 2019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початку дiї будь-якого договору Товариство проводить оцiнку такого договору на предмет наявностi ознак оренди. Ознаки оренди iснують, якщо виконання договору залежить вiд використання конкретного активу, а договiр надає право на користування цим активом.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момент початку дiї або перегляду умов договору Товариство роздiляє платежi та iншi суми, виплата яких передбачена таким договором, на суми оплати оренди i суми, пов'язанi з iншими елементами, на основi їх вiдносної справедливої вартостi. Якщо Товариство доходить висновку про неможливiсть достовiрно роздiлити платежi за фiнансовою орендою, актив i зобов'язання визнаються в сумi, що дорiвнює справедливiй вартостi вiдповiдного активу. У подальшому зобов'язання зменшується по мiрi здiйснення виплат, а умовнi фiнансовi нарахування за </w:t>
      </w:r>
      <w:r>
        <w:rPr>
          <w:rFonts w:ascii="Times New Roman CYR" w:hAnsi="Times New Roman CYR" w:cs="Times New Roman CYR"/>
          <w:sz w:val="24"/>
          <w:szCs w:val="24"/>
        </w:rPr>
        <w:lastRenderedPageBreak/>
        <w:t>зобов'язаннями визнаються з використанням ставки кредитування, що властива Товариству.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Платежi за договорами операцiйної оренди визнаються доходами чи витратами на прямолiнiйнiй основi протягом строку оренди.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 застосовується з 1 сiчня 2019 року</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початку дiї договору Компанiя проводить оцiнку такого договору на предмет наявностi ознак оренди. Ознаки оренди iснують, якщо договiр передає право контролю за використанням iдентифiкованого активу протягом певного перiоду часу в обмiн на винагороду. Для оцiнки того, чи передає договiр право контролю за використанням iдентифiкованого активу, Компанiя оцiнює, чи: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договiр мiстить положення про використання iдентифiкованого активу, що може бути вказано у договорi у прямий або непрямий спосiб, i актив повинен бути чiтко вираженим з фiзичної точки зору або представляти практично повнi основнi характеристики активу, який є чiтко вираженим з фiзичної точки зору. Якщо постачальник має суттєве право на замiну, актив не є iдентифiкованим;</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Компанiя має право отримати практично всi економiчнi вигоди вiд використання активу протягом термiну використання; 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Компанiя має право на визначення того, яким чином використовувати актив. Компанiя має права прийняття рiшень, якi є найбiльш значущими для змiни того, як i для якої мети використовується актив. У рiдкiсних випадках, коли рiшення про те, як i для якої мети використовується актив, визначено наперед, Компанiя має право на визначення того, яким чином використовувати актив, якщо: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Компанiя має право експлуатувати актив; або</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Компанiя спроектувала актив таким чином, який визначає наперед, як i для якої мети буде використовуватися актив протягом термiну використання.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Товариство як орендар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визнає актив у формi права користування та зобов'язання з оренди на дату початку оренди. Первiсне визнання активу у формi права користування вiдбувається за собiвартiстю, яка включає початкову величину зобов'язання з оренди, скориговану на будь-якi платежi, здiйсненi на дату початку оренди або ранiше, плюс будь-якi понесенi початковi прямi витрати, та оцiнена величина витрат на демонтаж та перевезення активу або на вiдновлення активу чи дiлянки, на якiй цей актив був розмiщений, за вирахуванням будь-яких отриманих заохочень.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Актив у формi права користування в подальшому амортизується за прямолiнiйним методом з дати початку оренди до кiнця строку корисного використання активу у формi права користування або до закiнчення строку оренди, залежно вiд того, яка з цих двох дат настає ранiше. Оцiнюванi строки корисного використання активiв у формi права користування визначаються на тiй же основi, що й у основних засобiв. Крiм того, вартiсть активу у формi права користування перiодично зменшується на суму збиткiв вiд зменшення корисностi, якщо такi мають мiсце, та коригується з урахуванням певних переоцiнок зобов'язання з оренди.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оцiнка зобов'язання з оренди здiйснюється за теперiшньою вартiстю, дисконтованою за процентною ставкою, закладеною до договору оренди, або, якщо ця ставка не може бути визначена, за прирiсною процентною ставкою Товариства на позиковий капiтал. Як правило, компанiя використовує свою додаткову ставку на позиковий капiтал як ставку дисконту.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Оренднi платежi, що включаються до оцiнки зобов'язання з оренди, включають: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фiксованi платежi, включаючи тi, що є такими по сутi;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перемiннi оренднi платежi, якi залежать вiд iндексу або ставки, первiсна оцiнка яких здiйснюється з використанням iндексу або ставки на дату початку оренди;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суми, що, як очiкується, будуть сплаченi орендарем за гарантiєю лiквiдацiйної вартостi; та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цiну виконання опцiону на покупку, якщо у Товариства iснує об?рунтована впевненiсть, що вона виконає цей опцiон, оренднi платежi у разi iснування права на продовження оренди, </w:t>
      </w:r>
      <w:r>
        <w:rPr>
          <w:rFonts w:ascii="Times New Roman CYR" w:hAnsi="Times New Roman CYR" w:cs="Times New Roman CYR"/>
          <w:sz w:val="24"/>
          <w:szCs w:val="24"/>
        </w:rPr>
        <w:lastRenderedPageBreak/>
        <w:t xml:space="preserve">якщо у Товариства iснує об?рунтована впевненiсть, що вона скористається опцiоном на продовження, та штрафнi санкцiї за дострокове припинення договору оренди, крiм випадкiв, коли у Товариства iснує об?рунтована впевненiсть, що договiр оренди не буде припинено достроково.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з оренди оцiнюється за амортизованою вартiстю з використанням методу ефективного вiдсотка. Зобов'язання переоцiнюється тодi, коли вiдбувається змiна майбутнiх орендних платежiв у результатi змiни iндексу або ставки, змiна прогнозної оцiнки Товариства щодо суми, що, як очiкується, буде виплачена за гарантiєю лiквiдацiйної вартостi, або якщо Товариство змiнює свою оцiнку щодо того, чи воно здiйснюватиме опцiон покупки, продовження оренди чи припинення договору оренди.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Коли зобов'язання з оренди переоцiнюється таким чином, балансова вартiсть активу у формi права користування коригується вiдповiдним чином, або вiдповiдне коригування вiдображається у прибутку чи збитку, якщо балансова вартiсть активу у формi права користування була зменшена до нуля.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вiдображає активи у формi права користування, якi не вiдповiдають визначенню iнвестицiйної нерухомостi, у складi основних засобiв, а зобов'язання з оренди - у складi iнших зобов'язань у звiтi про фiнансовий стан.</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     Товариство як орендодавець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Коли Товариство виступає як орендодавець, воно визначає на початку дiї договору оренди, чи є оренда  фiнансовою або операцiйною.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класифiкацiї кожної оренди Товариство оцiнює, чи передаються за договором оренди фактично всi ризики та вигоди вiд володiння базовим активом. Якщо це так, то оренда є фiнансовою орендою, якщо нi, то вона є операцiйною орендою. У рамках цiєї оцiнки Товариство розглядає певнi показники, такi, як те, чи оренда припадає на бiльшу частину строку служби активу.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Товариство є промiжним орендодавцем, воно вiдображає свої частки за основною орендою та суборендою окремо. Воно оцiнює класифiкацiю оренди як суборенди з урахуванням активу у формi права користування, що виникає за основною орендою, без урахування базового активу. Якщо основна оренда є короткостроковою орендою, щодо якої Компанiя користується звiльненням, про яке йдеться вище, то вона класифiкує суборенду як операцiйну оренду.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угода мiстить компоненти, що як є, так i не є орендою, Товариство застосовує МСФЗ 15 з метою розподiлу винагороди, передбаченої договором.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вiдображає оренднi платежi, отриманi за договорами операцiйної оренди, як дохiд за прямолiнiйним методом протягом строку оренди як частину iнших доходiв.</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w:t>
      </w:r>
      <w:r>
        <w:rPr>
          <w:rFonts w:ascii="Times New Roman CYR" w:hAnsi="Times New Roman CYR" w:cs="Times New Roman CYR"/>
          <w:sz w:val="24"/>
          <w:szCs w:val="24"/>
        </w:rPr>
        <w:tab/>
        <w:t>Звiтнiсть за сегментами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вважає, що Товариство здiйснює свою дiяльнiсть в одному сегментi, значному для цiєї фiнансової звiтностi, а саме сегментi виробництва пивоварного солоду.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Новi стандарти та тлумачення, якi ще не були прийнятi до використання</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Деякi новi Стандарти, Змiни до стандартiв та Тлумачення ще не набрали чинностi станом на 31 грудня 2019 року i не застосовувалися при складаннi цiєї фiнансової звiтностi. Товариство планує застосовувати їх тодi, коли вони стануть чинними.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Деякi поправки до стандартiв i роз'яснення, як очiкується, не матимуть значного впливу на фiнансову звiтнiсть Товариства.</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ab/>
        <w:t>Подiї пiсля звiтної дати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першi мiсяцi 2020 року спостерiгається значне потрясiння на свiтовому ринку, викликане спалахом коронавiрусу. Разом з iншими факторами це призвело до рiзкого зниження цiн на нафту та фондових iндексiв, а також до девальвацiї української гривнi. Вiдповiдаючи на потенцiйно серйозну загрозу, яку коронавiрус представляє для здоров'я населення, українськi урядовi органи вжили заходiв щодо стримування розповсюдження коронавiрусу серед населення, вводячи обмеження на перемiщення людей всерединi України, "замикання" мiст у регiонах, що, можливо, постраждають вiд спалаху коронавiрусу, призупинення транспортних </w:t>
      </w:r>
      <w:r>
        <w:rPr>
          <w:rFonts w:ascii="Times New Roman CYR" w:hAnsi="Times New Roman CYR" w:cs="Times New Roman CYR"/>
          <w:sz w:val="24"/>
          <w:szCs w:val="24"/>
        </w:rPr>
        <w:lastRenderedPageBreak/>
        <w:t>зв'язкiв з Україною та обмеження в'їзду та виїзду з України. В другiй половинi березня Кабiнет Мiнiстрiв України запровадив карантин та ввiв режим надзвичайної ситуацiї по всiй територiї України, що триватиме до 24 квiтня 2020 року. Деякi пiдприємства також доручили працiвникам залишатися вдома та скоротити або тимчасово припинити дiловi операцiї.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 широкi економiчнi наслiдки цих подiй включають:</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пiдрив пiдприємницької та господарської дiяльностi в Українi, негативний вплив на бiльшiсть галузей економiки, включаючи торгiвлю та транспорт, подорожi та туризм, готельно-ресторанний бiзнес, розваги, виробництво, будiвництво, роздрiбну торгiвлю, страхування та освiту; i</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зростання економiчної невизначеностi, коливання цiн на активи та обмiнних курсiв валют.</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 подiї можуть суттєво вплинути на подальшу дiяльнiсть Товариства та її фiнансовi результати, i наразi цей вплив неможливо достовiрно оцiнити.</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 Дубiна</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 Щур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Керiвник/Генеральний директор</w:t>
      </w:r>
      <w:r>
        <w:rPr>
          <w:rFonts w:ascii="Times New Roman CYR" w:hAnsi="Times New Roman CYR" w:cs="Times New Roman CYR"/>
          <w:sz w:val="24"/>
          <w:szCs w:val="24"/>
        </w:rPr>
        <w:tab/>
        <w:t>Головний бухгалтер</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квiтня 2020 р.</w:t>
      </w:r>
      <w:r>
        <w:rPr>
          <w:rFonts w:ascii="Times New Roman CYR" w:hAnsi="Times New Roman CYR" w:cs="Times New Roman CYR"/>
          <w:sz w:val="24"/>
          <w:szCs w:val="24"/>
        </w:rPr>
        <w:tab/>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sectPr w:rsidR="00CD10EB">
          <w:pgSz w:w="12240" w:h="15840"/>
          <w:pgMar w:top="850" w:right="850" w:bottom="850" w:left="1400" w:header="708" w:footer="708" w:gutter="0"/>
          <w:cols w:space="720"/>
          <w:noEndnote/>
        </w:sect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563AB">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ПрАТ "КПМГ Аудит"</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31032100</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вул. Московська,32/2,17-ий поверх,м.Київ,01010</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2397</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номер: 335/4, дата: 22.12.2016</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з 01.01.2019 по 31.12.2020</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02 - із застереженням</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Управлiнському персоналу Приватного акцiонерного товариства "Славутський солодовий завод"</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Звiт щодо фiнансової звiтностi</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Думка iз застереженням.</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Ми провели аудит фiнансової звiтностi Приватного акцiонерного товариства "Славутський солодовий завод" (далi - "Товариство"), що складається з балансу (звiту про фiнансовий стан) на 31 грудня 2019 р., звiту про фiнансовi результати (звiту про сукупний дохiд), звiту про власний капiтал та звiту про рух грошових коштiв (за прямим методом) за рiк, що закiнчився зазначеною датою, i примiток, включаючи стислий виклад значущих облiкових полiтик та iншу пояснювальну iнформацiю.</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На нашу думку, за винятком можливого впливу питання, описаного у роздiлi "Основа для думки iз застереженням" нашого звiту, фiнансова звiтнiсть, що додається, вiдображає достовiрно, в усiх суттєвих аспектах фiнансовий стан Товариства на           31 грудня 2019 р. та його фiнансовi результати i грошовi потоки за рiк, що закiнчився зазначеною датою, вiдповiдно до Мiжнародних стандартiв фiнансової звiтностi ("МСФЗ") та вимог законодавства України щодо фiнансового звiтування.</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Основа для думки iз застереженням</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 xml:space="preserve">Товариство не має достатнiх облiкових даних щодо первiсної вартостi основних засобiв, придбаних до 1 сiчня 2000 року, залишкова вартiсть яких складала 4,369 тисяч гривень станом на 31 грудня 2019 року (31 грудня 2018 р.: 6,086 тисяч гривень). Ми не змогли перевiрити iншим чином основнi засоби з балансовою вартiстю 4,369 тисяч гривень, на 31 грудня 2019 року (31 грудня 2018 р.: 6,086 тисяч гривень). У зв'язку з цим ми не змогли визначити, чи iснує потреба в будь-яких коригуваннях основних засобiв та вiдповiдних елементiв, що входять до складу звiтiв про фiнансовi результати (звiту про сукупний дохiд) та про власний капiтал. </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 xml:space="preserve">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аудиторiв за аудит фiнансової звiтностi" нашого звiту. Ми є незалежними по вiдношенню до Товариства згiдно з Мiжнародним кодексом етики </w:t>
            </w:r>
            <w:r w:rsidRPr="00F563AB">
              <w:rPr>
                <w:rFonts w:ascii="Times New Roman CYR" w:hAnsi="Times New Roman CYR" w:cs="Times New Roman CYR"/>
                <w:sz w:val="24"/>
                <w:szCs w:val="24"/>
              </w:rPr>
              <w:lastRenderedPageBreak/>
              <w:t>професiйних бухгалтерiв (включаючи мiжнароднi стандарти незалежностi) та етичними вимогами, застосовними в Українi до нашого аудиту фiнансової звiтностi, а також виконали iншi обов'язки з етики вiдповiдно до цих вимог та Мiжнародного кодексу етики. Ми вважаємо, що отриманi нами аудиторськi докази є достатнiми i прийнятними для використання їх як основи для нашої думки iз застереженням.</w:t>
            </w:r>
          </w:p>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10</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номер: 191-SA019, дата: 29.11.2019</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дата початку: 02.12.2019, дата закінчення: 03.03.2020</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06.04.2019</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750 000.00</w:t>
            </w:r>
          </w:p>
        </w:tc>
      </w:tr>
      <w:tr w:rsidR="00CD10EB" w:rsidRPr="00F563AB">
        <w:trPr>
          <w:trHeight w:val="200"/>
        </w:trPr>
        <w:tc>
          <w:tcPr>
            <w:tcW w:w="70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r w:rsidRPr="00F563AB">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b/>
                <w:bCs/>
                <w:sz w:val="24"/>
                <w:szCs w:val="24"/>
              </w:rPr>
            </w:pPr>
            <w:r w:rsidRPr="00F563AB">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D10EB" w:rsidRPr="00F563AB">
        <w:trPr>
          <w:trHeight w:val="200"/>
        </w:trPr>
        <w:tc>
          <w:tcPr>
            <w:tcW w:w="10000" w:type="dxa"/>
            <w:gridSpan w:val="3"/>
            <w:tcBorders>
              <w:top w:val="single" w:sz="6" w:space="0" w:color="auto"/>
              <w:bottom w:val="single" w:sz="6" w:space="0" w:color="auto"/>
            </w:tcBorders>
          </w:tcPr>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Ключовi питання аудиту, що включають найбiльш значущi ризики суттєвих викривлень, у тому числi оцiнений ризик суттєвих викривлень унаслiдок шахрайства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Визнання доходу вiд реалiзацiї продукцiї (товарiв, робiт, послуг)</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Див. Примiтку 6 та 26 (а) до фiнансової звiтностi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Ключове питання аудиту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Згiдно з Мiжнародними стандартами аудиту, iснує припущення про невiд'ємний  ризик шахрайства, пов'язаний з визнанням доходу вiд реалiзацiї продукцiї (товарiв, робiт, послуг).</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Цей ризик концентрується здебiльшого на прийнятностi правил визнання доходу вiд реалiзацiї продукцiї (товарiв, робiт, послуг) у вiдповiдних перiодах, беручи до уваги обсяг доходу вiд реалiзацiї продукцiї (товарiв, робiт, послуг), визнаний близько до завершення року, та судження щодо моменту передачi контролю над товарами покупцям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Як це питання вирiшувалось пiд час аудиту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Нашi аудиторськi процедури щодо визнання доходу вiд реалiзацiї продукцiї (товарiв, робiт, послуг) включали наступне:</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Аналiз полiтики визнання доходу вiд реалiзацiї продукцiї (товарiв, робiт, послуг) Товариства, щоб визначити, чи вона належним чином враховує вимоги МСФЗ 15 "Дохiд вiд договорiв з клiєнтами".</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lastRenderedPageBreak/>
              <w:t>-</w:t>
            </w:r>
            <w:r w:rsidRPr="00F563AB">
              <w:rPr>
                <w:rFonts w:ascii="Times New Roman CYR" w:hAnsi="Times New Roman CYR" w:cs="Times New Roman CYR"/>
                <w:sz w:val="24"/>
                <w:szCs w:val="24"/>
              </w:rPr>
              <w:tab/>
              <w:t>Перевiрка договорiв купiвлi-продажу на вибiрковiй основi для аналiзу умов поставки та оцiнювання того, чи був визнаний дохiд вiд реалiзацiї продукцiї (товарiв, робiт, послуг) вiдповiдно до облiкової полiтики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Отримання на вибiрковiй основi пiдтверджень вiд покупцiв Товариства щодо оборотiв протягом року та залишкiв станом на 31 грудня 2019 року, включаючи договiрнi умови, а для неотриманих пiдтверджень - виконання альтернативних процедур шляхом порiвняння деталей операцiй з вiдповiдними первинними документами.</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Порiвняння на вибiрковiй основi окремих операцiй з реалiзацiї продукцiї, що вiдбулися близько до кiнця року, з вiдповiдними первинними документами, щоб визначити, чи належним чином був визнаний дохiд вiд реалiзацiї продукцiї (товарiв, робiт, послуг) у вiдповiдному перiодi.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Iнша iнформацiя</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Управлiнський персонал несе вiдповiдальнiсть за iншу iнформацiю. Iнша iнформацiя, отримана на дату цього звiту аудиторiв, є iнформацiєю, яка мiститься у Звiтi про управлiння, але не є фiнансовою звiтнiстю та нашим звiтом аудиторiв щодо неї.</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невiдповiдность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Якщо на основi проведеної нами роботи стосовно iншої iнформацiї, отриманої до дати цього звiту аудиторiв,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МСФЗ та вимог законодавства України щодо фiнансового звiтування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Товариство чи припинити дiяльнiсть, або не має iнших реальних альтернатив цьому.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Вiдповiдальнiсть аудиторiв за аудит фiнансової звiтностi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звiту аудиторiв,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звiту аудиторiв,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оцiнюємо прийнятнiсть застосованих облiкових полiтик та обгрунтованiсть облiкових оцiнок i вiдповiдних розкриттiв iнформацiї, зроблених управлiнським  персоналом;</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Товариства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аудиторiв до вiдповiдних розкриттiв iнформацiї у фiнансовiй звiтностi або, якщо такi розкриття iнформацiї є неналежними, модифiкувати свою думку. Нашi висновки грунтуються на аудиторських доказах, отриманих до дати нашого звiту аудиторiв. Втiм, майбутнi подiї або умови можуть примусити Товариство припинити свою дiяльнiсть на безперервнiй основi;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w:t>
            </w:r>
            <w:r w:rsidRPr="00F563AB">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подання;</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Ми повiдомляємо тим, кого надiлено найвищими повноваженнями, разом з iншими питаннями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застосовно, щодо вiдповiдних застережних заходiв.</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 перелiку всiх питань, iнформацiя щодо яких надавалась тим, кого надiлено найвищими повноваженнями, ми визначили тi, що були найбiльш значущими пiд час аудиту фiнансової звiтностi поточного перiоду, тобто тi, якi є ключовими питаннями аудиту. Ми описуємо цi питання в нашому звiтi аудиторiв, крiм випадкiв, якщо законодавчим чи регуляторним актом заборонено публiчне розкриття такого питання, або коли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Звiт щодо вимог iнших законодавчих i нормативних актiв</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Згiдно з вимогами статтi 14(4) Закону України "Про аудит фiнансової звiтностi та аудиторську дiяльнiсть" ми надаємо наступну iнформацiю в нашому Звiтi незалежних аудиторiв, що вимагається додатково до вимог МСА.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Призначення аудитора та тривалiсть виконання аудиторського завдання</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Ми були призначенi аудиторами фiнансової звiтностi Товариства станом на 31 грудня 2019 р. та за рiк, що закiнчився зазначеною датою, Наглядовою радою Товариства 28 листопада 2019 року. Загальна тривалiсть виконання нами аудиторських завдань без перерв складає чотирнадцять рокiв, починаючи з року, що закiнчився 31 грудня 2006 р., по рiк, що закiнчився 31 грудня 2019 р</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Надання неаудиторських послуг</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Ми стверджуємо, що ми не надавали неаудиторськi послуги, якi забороненi положеннями Статтi 6(4) Закону України "Про аудит фiнансової звiтностi та аудиторську дiяльнiсть".</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Також, за перiод, якого стосується обов'язковий аудит, що ми виконуємо, ми не надавали Товариству iнших послуг, крiм послуг з обов'язкового аудиту, iнформацiя про якi не розкрита у Звiтi про управлiння або у фiнансовiй звiтностi Товариства.</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Додатковий звiт для аудиторського комiтету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r w:rsidRPr="00F563AB">
              <w:rPr>
                <w:rFonts w:ascii="Times New Roman CYR" w:hAnsi="Times New Roman CYR" w:cs="Times New Roman CYR"/>
                <w:sz w:val="24"/>
                <w:szCs w:val="24"/>
              </w:rPr>
              <w:t>Ми пiдтверджуємо, що цей звiт аудиторiв узгоджений з додатковим звiтом для аудиторського комiтету.</w:t>
            </w:r>
          </w:p>
          <w:p w:rsidR="00CD10EB" w:rsidRPr="00F563AB" w:rsidRDefault="00CD10EB">
            <w:pPr>
              <w:widowControl w:val="0"/>
              <w:autoSpaceDE w:val="0"/>
              <w:autoSpaceDN w:val="0"/>
              <w:adjustRightInd w:val="0"/>
              <w:spacing w:after="0" w:line="240" w:lineRule="auto"/>
              <w:rPr>
                <w:rFonts w:ascii="Times New Roman CYR" w:hAnsi="Times New Roman CYR" w:cs="Times New Roman CYR"/>
                <w:sz w:val="24"/>
                <w:szCs w:val="24"/>
              </w:rPr>
            </w:pPr>
          </w:p>
        </w:tc>
      </w:tr>
    </w:tbl>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у рамках консолiдованої фiнансової звiтностi. </w:t>
      </w:r>
    </w:p>
    <w:p w:rsidR="00CD10EB" w:rsidRDefault="00CD10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керiвництва включає достовiрне та об'єктивне подання iнформацiї про розвиток i </w:t>
      </w:r>
      <w:r>
        <w:rPr>
          <w:rFonts w:ascii="Times New Roman CYR" w:hAnsi="Times New Roman CYR" w:cs="Times New Roman CYR"/>
          <w:sz w:val="24"/>
          <w:szCs w:val="24"/>
        </w:rPr>
        <w:lastRenderedPageBreak/>
        <w:t>здiйснення господарської дiяльностi i стан емiтента  у рамках консолiдованої звiтностi, разом з описом основних ризикiв та невизначеностей, з якими вони стикаються у своїй господарськiй дiяльностi</w:t>
      </w:r>
    </w:p>
    <w:p w:rsidR="00CD10EB" w:rsidRDefault="00CD10EB">
      <w:pPr>
        <w:widowControl w:val="0"/>
        <w:autoSpaceDE w:val="0"/>
        <w:autoSpaceDN w:val="0"/>
        <w:adjustRightInd w:val="0"/>
        <w:spacing w:after="0" w:line="240" w:lineRule="auto"/>
        <w:rPr>
          <w:rFonts w:ascii="Times New Roman CYR" w:hAnsi="Times New Roman CYR" w:cs="Times New Roman CYR"/>
          <w:sz w:val="24"/>
          <w:szCs w:val="24"/>
        </w:rPr>
      </w:pPr>
    </w:p>
    <w:p w:rsidR="00CD10EB" w:rsidRPr="0014190E" w:rsidRDefault="00CD10EB">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4190E">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CD10EB" w:rsidRPr="00F563AB">
        <w:trPr>
          <w:trHeight w:val="200"/>
        </w:trPr>
        <w:tc>
          <w:tcPr>
            <w:tcW w:w="14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b/>
                <w:bCs/>
              </w:rPr>
            </w:pPr>
            <w:r w:rsidRPr="00F563AB">
              <w:rPr>
                <w:rFonts w:ascii="Times New Roman CYR" w:hAnsi="Times New Roman CYR" w:cs="Times New Roman CYR"/>
                <w:b/>
                <w:bCs/>
              </w:rPr>
              <w:t>Вид інформації</w:t>
            </w:r>
          </w:p>
        </w:tc>
      </w:tr>
      <w:tr w:rsidR="00CD10EB" w:rsidRPr="00F563AB">
        <w:trPr>
          <w:trHeight w:val="200"/>
        </w:trPr>
        <w:tc>
          <w:tcPr>
            <w:tcW w:w="1450" w:type="dxa"/>
            <w:tcBorders>
              <w:top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3</w:t>
            </w:r>
          </w:p>
        </w:tc>
      </w:tr>
      <w:tr w:rsidR="00CD10EB" w:rsidRPr="00F563AB">
        <w:trPr>
          <w:trHeight w:val="200"/>
        </w:trPr>
        <w:tc>
          <w:tcPr>
            <w:tcW w:w="14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24.04.2019</w:t>
            </w:r>
          </w:p>
        </w:tc>
        <w:tc>
          <w:tcPr>
            <w:tcW w:w="2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25.04.2019</w:t>
            </w:r>
          </w:p>
        </w:tc>
        <w:tc>
          <w:tcPr>
            <w:tcW w:w="63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CD10EB" w:rsidRPr="00F563AB">
        <w:trPr>
          <w:trHeight w:val="200"/>
        </w:trPr>
        <w:tc>
          <w:tcPr>
            <w:tcW w:w="1450" w:type="dxa"/>
            <w:tcBorders>
              <w:top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24.04.2019</w:t>
            </w:r>
          </w:p>
        </w:tc>
        <w:tc>
          <w:tcPr>
            <w:tcW w:w="2250" w:type="dxa"/>
            <w:tcBorders>
              <w:top w:val="single" w:sz="6" w:space="0" w:color="auto"/>
              <w:left w:val="single" w:sz="6" w:space="0" w:color="auto"/>
              <w:bottom w:val="single" w:sz="6" w:space="0" w:color="auto"/>
              <w:right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25.04.2019</w:t>
            </w:r>
          </w:p>
        </w:tc>
        <w:tc>
          <w:tcPr>
            <w:tcW w:w="6300" w:type="dxa"/>
            <w:tcBorders>
              <w:top w:val="single" w:sz="6" w:space="0" w:color="auto"/>
              <w:left w:val="single" w:sz="6" w:space="0" w:color="auto"/>
              <w:bottom w:val="single" w:sz="6" w:space="0" w:color="auto"/>
            </w:tcBorders>
          </w:tcPr>
          <w:p w:rsidR="00CD10EB" w:rsidRPr="00F563AB" w:rsidRDefault="00CD10EB">
            <w:pPr>
              <w:widowControl w:val="0"/>
              <w:autoSpaceDE w:val="0"/>
              <w:autoSpaceDN w:val="0"/>
              <w:adjustRightInd w:val="0"/>
              <w:spacing w:after="0" w:line="240" w:lineRule="auto"/>
              <w:jc w:val="center"/>
              <w:rPr>
                <w:rFonts w:ascii="Times New Roman CYR" w:hAnsi="Times New Roman CYR" w:cs="Times New Roman CYR"/>
              </w:rPr>
            </w:pPr>
            <w:r w:rsidRPr="00F563AB">
              <w:rPr>
                <w:rFonts w:ascii="Times New Roman CYR" w:hAnsi="Times New Roman CYR" w:cs="Times New Roman CYR"/>
              </w:rPr>
              <w:t>Відомості про зміну складу посадових осіб емітента</w:t>
            </w:r>
          </w:p>
        </w:tc>
      </w:tr>
    </w:tbl>
    <w:p w:rsidR="00CD10EB" w:rsidRDefault="00CD10EB">
      <w:pPr>
        <w:widowControl w:val="0"/>
        <w:autoSpaceDE w:val="0"/>
        <w:autoSpaceDN w:val="0"/>
        <w:adjustRightInd w:val="0"/>
        <w:spacing w:after="0" w:line="240" w:lineRule="auto"/>
        <w:rPr>
          <w:rFonts w:ascii="Times New Roman CYR" w:hAnsi="Times New Roman CYR" w:cs="Times New Roman CYR"/>
        </w:rPr>
      </w:pPr>
    </w:p>
    <w:sectPr w:rsidR="00CD10EB">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14190E"/>
    <w:rsid w:val="0015343D"/>
    <w:rsid w:val="002C2F4D"/>
    <w:rsid w:val="0085672F"/>
    <w:rsid w:val="00866827"/>
    <w:rsid w:val="00CD10EB"/>
    <w:rsid w:val="00F563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162193-958A-46A9-8597-1E16932F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144287</Words>
  <Characters>82245</Characters>
  <Application>Microsoft Office Word</Application>
  <DocSecurity>0</DocSecurity>
  <Lines>685</Lines>
  <Paragraphs>452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VERBA</dc:creator>
  <cp:keywords/>
  <dc:description/>
  <cp:lastModifiedBy>Oleg LEVCHENKO</cp:lastModifiedBy>
  <cp:revision>4</cp:revision>
  <dcterms:created xsi:type="dcterms:W3CDTF">2020-07-21T11:15:00Z</dcterms:created>
  <dcterms:modified xsi:type="dcterms:W3CDTF">2020-07-21T11:16:00Z</dcterms:modified>
</cp:coreProperties>
</file>